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41" w:rsidRDefault="00B22241" w:rsidP="00B22241">
      <w:pPr>
        <w:pStyle w:val="NoSpacing"/>
        <w:jc w:val="center"/>
        <w:rPr>
          <w:rFonts w:cs="Arial"/>
          <w:b/>
          <w:sz w:val="48"/>
          <w:szCs w:val="48"/>
        </w:rPr>
      </w:pPr>
    </w:p>
    <w:p w:rsidR="00B22241" w:rsidRPr="00B22241" w:rsidRDefault="00F63069" w:rsidP="00B22241">
      <w:pPr>
        <w:pStyle w:val="NoSpacing"/>
        <w:jc w:val="center"/>
        <w:rPr>
          <w:rFonts w:cs="Arial"/>
          <w:b/>
          <w:sz w:val="48"/>
          <w:szCs w:val="48"/>
        </w:rPr>
      </w:pPr>
      <w:r w:rsidRPr="00B22241">
        <w:rPr>
          <w:rFonts w:cs="Arial"/>
          <w:b/>
          <w:sz w:val="48"/>
          <w:szCs w:val="48"/>
        </w:rPr>
        <w:t xml:space="preserve">St. Crispin’s </w:t>
      </w:r>
      <w:r w:rsidR="00B22241" w:rsidRPr="00B22241">
        <w:rPr>
          <w:rFonts w:cs="Arial"/>
          <w:b/>
          <w:sz w:val="48"/>
          <w:szCs w:val="48"/>
        </w:rPr>
        <w:t>First</w:t>
      </w:r>
    </w:p>
    <w:p w:rsidR="00B22241" w:rsidRDefault="00B22241" w:rsidP="00B22241">
      <w:pPr>
        <w:pStyle w:val="NoSpacing"/>
        <w:jc w:val="center"/>
        <w:rPr>
          <w:rFonts w:cs="Arial"/>
          <w:b/>
          <w:sz w:val="36"/>
          <w:szCs w:val="36"/>
        </w:rPr>
      </w:pPr>
    </w:p>
    <w:p w:rsidR="00B22241" w:rsidRDefault="00B22241" w:rsidP="00B22241">
      <w:pPr>
        <w:pStyle w:val="NoSpacing"/>
        <w:jc w:val="center"/>
        <w:rPr>
          <w:rFonts w:cs="Arial"/>
          <w:b/>
          <w:sz w:val="36"/>
          <w:szCs w:val="36"/>
        </w:rPr>
      </w:pPr>
    </w:p>
    <w:p w:rsidR="00B22241" w:rsidRPr="00B22241" w:rsidRDefault="00B22241" w:rsidP="00B22241">
      <w:pPr>
        <w:pStyle w:val="NoSpacing"/>
        <w:jc w:val="center"/>
        <w:rPr>
          <w:rFonts w:cs="Arial"/>
          <w:b/>
          <w:sz w:val="36"/>
          <w:szCs w:val="36"/>
        </w:rPr>
      </w:pPr>
    </w:p>
    <w:p w:rsidR="00B22241" w:rsidRDefault="00B22241" w:rsidP="00B22241">
      <w:pPr>
        <w:pStyle w:val="NoSpacing"/>
        <w:jc w:val="center"/>
        <w:rPr>
          <w:rFonts w:cs="Arial"/>
          <w:b/>
          <w:i/>
          <w:sz w:val="36"/>
          <w:szCs w:val="36"/>
        </w:rPr>
      </w:pPr>
      <w:r w:rsidRPr="00B22241">
        <w:rPr>
          <w:rFonts w:cs="Arial"/>
          <w:b/>
          <w:i/>
          <w:sz w:val="36"/>
          <w:szCs w:val="36"/>
        </w:rPr>
        <w:t xml:space="preserve">Community First funding programme for the former </w:t>
      </w:r>
    </w:p>
    <w:p w:rsidR="00B22241" w:rsidRPr="00B22241" w:rsidRDefault="00B22241" w:rsidP="00B22241">
      <w:pPr>
        <w:pStyle w:val="NoSpacing"/>
        <w:jc w:val="center"/>
        <w:rPr>
          <w:rFonts w:cs="Arial"/>
          <w:b/>
          <w:i/>
          <w:sz w:val="36"/>
          <w:szCs w:val="36"/>
        </w:rPr>
      </w:pPr>
      <w:r w:rsidRPr="00B22241">
        <w:rPr>
          <w:rFonts w:cs="Arial"/>
          <w:b/>
          <w:i/>
          <w:sz w:val="36"/>
          <w:szCs w:val="36"/>
        </w:rPr>
        <w:t xml:space="preserve">St. Crispin’s </w:t>
      </w:r>
      <w:r w:rsidR="00A42419">
        <w:rPr>
          <w:rFonts w:cs="Arial"/>
          <w:b/>
          <w:i/>
          <w:sz w:val="36"/>
          <w:szCs w:val="36"/>
        </w:rPr>
        <w:t>W</w:t>
      </w:r>
      <w:r w:rsidRPr="00B22241">
        <w:rPr>
          <w:rFonts w:cs="Arial"/>
          <w:b/>
          <w:i/>
          <w:sz w:val="36"/>
          <w:szCs w:val="36"/>
        </w:rPr>
        <w:t>ard of Northampton</w:t>
      </w:r>
    </w:p>
    <w:p w:rsidR="00B22241" w:rsidRDefault="00B22241" w:rsidP="00B22241">
      <w:pPr>
        <w:pStyle w:val="NoSpacing"/>
        <w:jc w:val="center"/>
        <w:rPr>
          <w:rFonts w:cs="Arial"/>
          <w:b/>
          <w:i/>
          <w:szCs w:val="24"/>
        </w:rPr>
      </w:pPr>
    </w:p>
    <w:p w:rsidR="00B22241" w:rsidRDefault="00B22241" w:rsidP="00B22241">
      <w:pPr>
        <w:pStyle w:val="NoSpacing"/>
        <w:jc w:val="center"/>
        <w:rPr>
          <w:rFonts w:cs="Arial"/>
          <w:b/>
          <w:i/>
          <w:szCs w:val="24"/>
        </w:rPr>
      </w:pPr>
    </w:p>
    <w:p w:rsidR="00B22241" w:rsidRDefault="00B22241" w:rsidP="00B22241">
      <w:pPr>
        <w:pStyle w:val="NoSpacing"/>
        <w:jc w:val="center"/>
        <w:rPr>
          <w:rFonts w:cs="Arial"/>
          <w:b/>
          <w:i/>
          <w:szCs w:val="24"/>
        </w:rPr>
      </w:pPr>
    </w:p>
    <w:p w:rsidR="00B22241" w:rsidRDefault="00B22241" w:rsidP="00B22241">
      <w:pPr>
        <w:pStyle w:val="NoSpacing"/>
        <w:jc w:val="center"/>
        <w:rPr>
          <w:rFonts w:cs="Arial"/>
          <w:b/>
          <w:i/>
          <w:szCs w:val="24"/>
        </w:rPr>
      </w:pPr>
    </w:p>
    <w:p w:rsidR="00B22241" w:rsidRDefault="00B22241" w:rsidP="00B22241">
      <w:pPr>
        <w:pStyle w:val="NoSpacing"/>
        <w:jc w:val="center"/>
        <w:rPr>
          <w:rFonts w:cs="Arial"/>
          <w:b/>
          <w:i/>
          <w:szCs w:val="24"/>
        </w:rPr>
      </w:pPr>
    </w:p>
    <w:p w:rsidR="00B22241" w:rsidRDefault="00B22241" w:rsidP="00B22241">
      <w:pPr>
        <w:pStyle w:val="NoSpacing"/>
        <w:jc w:val="center"/>
        <w:rPr>
          <w:rFonts w:cs="Arial"/>
          <w:b/>
          <w:sz w:val="72"/>
          <w:szCs w:val="72"/>
        </w:rPr>
      </w:pPr>
      <w:r w:rsidRPr="00B22241">
        <w:rPr>
          <w:rFonts w:cs="Arial"/>
          <w:b/>
          <w:sz w:val="72"/>
          <w:szCs w:val="72"/>
        </w:rPr>
        <w:t xml:space="preserve">COMMUNITY PLAN FOR 2013 </w:t>
      </w:r>
      <w:r>
        <w:rPr>
          <w:rFonts w:cs="Arial"/>
          <w:b/>
          <w:sz w:val="72"/>
          <w:szCs w:val="72"/>
        </w:rPr>
        <w:t>–</w:t>
      </w:r>
      <w:r w:rsidRPr="00B22241">
        <w:rPr>
          <w:rFonts w:cs="Arial"/>
          <w:b/>
          <w:sz w:val="72"/>
          <w:szCs w:val="72"/>
        </w:rPr>
        <w:t xml:space="preserve"> 5</w:t>
      </w:r>
    </w:p>
    <w:p w:rsidR="00B22241" w:rsidRDefault="00B22241" w:rsidP="00B22241">
      <w:pPr>
        <w:pStyle w:val="NoSpacing"/>
        <w:jc w:val="center"/>
        <w:rPr>
          <w:rFonts w:cs="Arial"/>
          <w:b/>
          <w:sz w:val="28"/>
          <w:szCs w:val="28"/>
        </w:rPr>
      </w:pPr>
    </w:p>
    <w:p w:rsidR="00B22241" w:rsidRDefault="00B22241" w:rsidP="00B22241">
      <w:pPr>
        <w:pStyle w:val="NoSpacing"/>
        <w:jc w:val="center"/>
        <w:rPr>
          <w:rFonts w:cs="Arial"/>
          <w:b/>
          <w:sz w:val="28"/>
          <w:szCs w:val="28"/>
        </w:rPr>
      </w:pPr>
    </w:p>
    <w:p w:rsidR="00B22241" w:rsidRDefault="00B22241" w:rsidP="00B22241">
      <w:pPr>
        <w:pStyle w:val="NoSpacing"/>
        <w:jc w:val="right"/>
        <w:rPr>
          <w:sz w:val="28"/>
          <w:szCs w:val="28"/>
        </w:rPr>
      </w:pPr>
    </w:p>
    <w:p w:rsidR="00B22241" w:rsidRDefault="00B22241" w:rsidP="00B22241">
      <w:pPr>
        <w:pStyle w:val="NoSpacing"/>
        <w:jc w:val="right"/>
        <w:rPr>
          <w:sz w:val="28"/>
          <w:szCs w:val="28"/>
        </w:rPr>
      </w:pPr>
    </w:p>
    <w:p w:rsidR="00A42419" w:rsidRDefault="00A42419" w:rsidP="00B22241">
      <w:pPr>
        <w:pStyle w:val="NoSpacing"/>
        <w:jc w:val="right"/>
        <w:rPr>
          <w:sz w:val="28"/>
          <w:szCs w:val="28"/>
        </w:rPr>
      </w:pPr>
    </w:p>
    <w:p w:rsidR="00A42419" w:rsidRDefault="00A42419" w:rsidP="00B22241">
      <w:pPr>
        <w:pStyle w:val="NoSpacing"/>
        <w:jc w:val="right"/>
        <w:rPr>
          <w:sz w:val="28"/>
          <w:szCs w:val="28"/>
        </w:rPr>
      </w:pPr>
    </w:p>
    <w:p w:rsidR="00B22241" w:rsidRDefault="00B22241" w:rsidP="00B22241">
      <w:pPr>
        <w:pStyle w:val="NoSpacing"/>
        <w:jc w:val="right"/>
        <w:rPr>
          <w:sz w:val="28"/>
          <w:szCs w:val="28"/>
        </w:rPr>
      </w:pPr>
    </w:p>
    <w:p w:rsidR="00B22241" w:rsidRPr="00B22241" w:rsidRDefault="00B22241" w:rsidP="00B22241">
      <w:pPr>
        <w:pStyle w:val="NoSpacing"/>
        <w:jc w:val="right"/>
        <w:rPr>
          <w:i/>
          <w:sz w:val="28"/>
          <w:szCs w:val="28"/>
        </w:rPr>
      </w:pPr>
      <w:r w:rsidRPr="00B22241">
        <w:rPr>
          <w:i/>
          <w:sz w:val="28"/>
          <w:szCs w:val="28"/>
        </w:rPr>
        <w:t>Submitted by the St Crispin</w:t>
      </w:r>
      <w:r>
        <w:rPr>
          <w:i/>
          <w:sz w:val="28"/>
          <w:szCs w:val="28"/>
        </w:rPr>
        <w:t>’</w:t>
      </w:r>
      <w:r w:rsidRPr="00B22241">
        <w:rPr>
          <w:i/>
          <w:sz w:val="28"/>
          <w:szCs w:val="28"/>
        </w:rPr>
        <w:t>s First Community Panel</w:t>
      </w:r>
    </w:p>
    <w:p w:rsidR="00B22241" w:rsidRPr="00B22241" w:rsidRDefault="00B22241" w:rsidP="00B22241">
      <w:pPr>
        <w:pStyle w:val="NoSpacing"/>
        <w:jc w:val="right"/>
        <w:rPr>
          <w:i/>
          <w:sz w:val="28"/>
          <w:szCs w:val="28"/>
        </w:rPr>
      </w:pPr>
      <w:r w:rsidRPr="00B22241">
        <w:rPr>
          <w:i/>
          <w:sz w:val="28"/>
          <w:szCs w:val="28"/>
        </w:rPr>
        <w:t>August 2013</w:t>
      </w:r>
      <w:r w:rsidRPr="00B22241">
        <w:rPr>
          <w:i/>
          <w:sz w:val="28"/>
          <w:szCs w:val="28"/>
        </w:rPr>
        <w:br/>
      </w:r>
    </w:p>
    <w:p w:rsidR="00B22241" w:rsidRDefault="00B22241">
      <w:pPr>
        <w:rPr>
          <w:rFonts w:cs="Arial"/>
          <w:b/>
          <w:i/>
          <w:szCs w:val="24"/>
        </w:rPr>
      </w:pPr>
      <w:r>
        <w:rPr>
          <w:rFonts w:cs="Arial"/>
          <w:b/>
          <w:i/>
          <w:szCs w:val="24"/>
        </w:rPr>
        <w:br w:type="page"/>
      </w:r>
    </w:p>
    <w:p w:rsidR="00B22241" w:rsidRDefault="002A5210" w:rsidP="002A5210">
      <w:pPr>
        <w:pStyle w:val="NoSpacing"/>
        <w:numPr>
          <w:ilvl w:val="0"/>
          <w:numId w:val="18"/>
        </w:numPr>
        <w:ind w:left="426" w:hanging="426"/>
        <w:rPr>
          <w:rFonts w:cs="Arial"/>
          <w:b/>
          <w:szCs w:val="24"/>
        </w:rPr>
      </w:pPr>
      <w:r>
        <w:rPr>
          <w:rFonts w:cs="Arial"/>
          <w:b/>
          <w:szCs w:val="24"/>
        </w:rPr>
        <w:lastRenderedPageBreak/>
        <w:t xml:space="preserve"> </w:t>
      </w:r>
      <w:r w:rsidR="00B22241" w:rsidRPr="00B22241">
        <w:rPr>
          <w:rFonts w:cs="Arial"/>
          <w:b/>
          <w:szCs w:val="24"/>
        </w:rPr>
        <w:t>The Community First programme</w:t>
      </w:r>
    </w:p>
    <w:p w:rsidR="00B22241" w:rsidRDefault="00B22241" w:rsidP="00F63069">
      <w:pPr>
        <w:pStyle w:val="NoSpacing"/>
        <w:rPr>
          <w:rFonts w:cs="Arial"/>
          <w:b/>
          <w:szCs w:val="24"/>
        </w:rPr>
      </w:pPr>
    </w:p>
    <w:p w:rsidR="00B22241" w:rsidRDefault="00B22241" w:rsidP="00B22241">
      <w:pPr>
        <w:pStyle w:val="NoSpacing"/>
      </w:pPr>
      <w:r>
        <w:t xml:space="preserve">Community </w:t>
      </w:r>
      <w:proofErr w:type="gramStart"/>
      <w:r>
        <w:t>First</w:t>
      </w:r>
      <w:proofErr w:type="gramEnd"/>
      <w:r>
        <w:t xml:space="preserve"> is a governmental funding programme managed on behalf of the Cabinet Office by the Community Development Foundation. Grants of up to £2,500 can be </w:t>
      </w:r>
      <w:r w:rsidR="00A42419">
        <w:t>made by the</w:t>
      </w:r>
      <w:r>
        <w:t xml:space="preserve"> accredited Community Panel to organisations</w:t>
      </w:r>
      <w:r w:rsidR="00A42419">
        <w:t xml:space="preserve"> implementing projects that:</w:t>
      </w:r>
      <w:r>
        <w:t xml:space="preserve">  </w:t>
      </w:r>
    </w:p>
    <w:p w:rsidR="00B22241" w:rsidRPr="00B22241" w:rsidRDefault="00B22241" w:rsidP="00B22241">
      <w:pPr>
        <w:pStyle w:val="NoSpacing"/>
      </w:pPr>
    </w:p>
    <w:p w:rsidR="00B22241" w:rsidRPr="00B22241" w:rsidRDefault="00B22241" w:rsidP="00A42419">
      <w:pPr>
        <w:pStyle w:val="NoSpacing"/>
        <w:numPr>
          <w:ilvl w:val="0"/>
          <w:numId w:val="14"/>
        </w:numPr>
      </w:pPr>
      <w:r w:rsidRPr="00B22241">
        <w:t>improve the quality of life for local people</w:t>
      </w:r>
    </w:p>
    <w:p w:rsidR="00B22241" w:rsidRPr="00B22241" w:rsidRDefault="00A42419" w:rsidP="00A42419">
      <w:pPr>
        <w:pStyle w:val="NoSpacing"/>
        <w:numPr>
          <w:ilvl w:val="0"/>
          <w:numId w:val="14"/>
        </w:numPr>
      </w:pPr>
      <w:r>
        <w:t>p</w:t>
      </w:r>
      <w:r w:rsidR="00B22241" w:rsidRPr="00B22241">
        <w:t>romote a sense of ownership not only of problems, but of local opportunities and resources too</w:t>
      </w:r>
    </w:p>
    <w:p w:rsidR="00B22241" w:rsidRPr="00B22241" w:rsidRDefault="00A42419" w:rsidP="00A42419">
      <w:pPr>
        <w:pStyle w:val="NoSpacing"/>
        <w:numPr>
          <w:ilvl w:val="0"/>
          <w:numId w:val="14"/>
        </w:numPr>
      </w:pPr>
      <w:r>
        <w:t>s</w:t>
      </w:r>
      <w:r w:rsidR="00B22241" w:rsidRPr="00B22241">
        <w:t>tart more neighbourhood groups and revitalise existing groups</w:t>
      </w:r>
    </w:p>
    <w:p w:rsidR="00B22241" w:rsidRPr="00B22241" w:rsidRDefault="00A42419" w:rsidP="00A42419">
      <w:pPr>
        <w:pStyle w:val="NoSpacing"/>
        <w:numPr>
          <w:ilvl w:val="0"/>
          <w:numId w:val="14"/>
        </w:numPr>
      </w:pPr>
      <w:proofErr w:type="gramStart"/>
      <w:r>
        <w:t>i</w:t>
      </w:r>
      <w:r w:rsidR="00B22241" w:rsidRPr="00B22241">
        <w:t>ntroduce</w:t>
      </w:r>
      <w:proofErr w:type="gramEnd"/>
      <w:r w:rsidR="00B22241" w:rsidRPr="00B22241">
        <w:t xml:space="preserve"> a new approach to funding projects - leveraging time, money and other resources - helping neighbourhoods play a leading role in regenerating their area. </w:t>
      </w:r>
    </w:p>
    <w:p w:rsidR="00B22241" w:rsidRPr="00B22241" w:rsidRDefault="00B22241" w:rsidP="00B22241">
      <w:pPr>
        <w:pStyle w:val="NoSpacing"/>
      </w:pPr>
    </w:p>
    <w:p w:rsidR="00A42419" w:rsidRDefault="00B22241" w:rsidP="00B22241">
      <w:pPr>
        <w:pStyle w:val="NoSpacing"/>
      </w:pPr>
      <w:r w:rsidRPr="00B22241">
        <w:t xml:space="preserve">The </w:t>
      </w:r>
      <w:r w:rsidR="00A42419">
        <w:t>desired outcomes identified by the Cabinet Office at t</w:t>
      </w:r>
      <w:r w:rsidR="008C42A3">
        <w:t>he</w:t>
      </w:r>
      <w:r w:rsidR="00A42419">
        <w:t xml:space="preserve"> start of the programme are that:</w:t>
      </w:r>
    </w:p>
    <w:p w:rsidR="00B22241" w:rsidRPr="00B22241" w:rsidRDefault="00B22241" w:rsidP="00B22241">
      <w:pPr>
        <w:pStyle w:val="NoSpacing"/>
      </w:pPr>
      <w:r w:rsidRPr="00B22241">
        <w:t xml:space="preserve"> </w:t>
      </w:r>
    </w:p>
    <w:p w:rsidR="00B22241" w:rsidRPr="00B22241" w:rsidRDefault="00A42419" w:rsidP="00A42419">
      <w:pPr>
        <w:pStyle w:val="NoSpacing"/>
        <w:numPr>
          <w:ilvl w:val="0"/>
          <w:numId w:val="15"/>
        </w:numPr>
      </w:pPr>
      <w:r>
        <w:t>c</w:t>
      </w:r>
      <w:r w:rsidR="00B22241" w:rsidRPr="00B22241">
        <w:t xml:space="preserve">ommunities </w:t>
      </w:r>
      <w:r>
        <w:t>become</w:t>
      </w:r>
      <w:r w:rsidR="00B22241" w:rsidRPr="00B22241">
        <w:t xml:space="preserve"> </w:t>
      </w:r>
      <w:r w:rsidR="008C42A3">
        <w:t xml:space="preserve">better able </w:t>
      </w:r>
      <w:r w:rsidR="00B22241" w:rsidRPr="00B22241">
        <w:t xml:space="preserve">to help themselves and others </w:t>
      </w:r>
    </w:p>
    <w:p w:rsidR="00B22241" w:rsidRPr="00B22241" w:rsidRDefault="00A42419" w:rsidP="00A42419">
      <w:pPr>
        <w:pStyle w:val="NoSpacing"/>
        <w:numPr>
          <w:ilvl w:val="0"/>
          <w:numId w:val="15"/>
        </w:numPr>
      </w:pPr>
      <w:r>
        <w:t>n</w:t>
      </w:r>
      <w:r w:rsidR="00B22241" w:rsidRPr="00B22241">
        <w:t xml:space="preserve">eighbourhood groups </w:t>
      </w:r>
      <w:r>
        <w:t>become</w:t>
      </w:r>
      <w:r w:rsidR="00B22241" w:rsidRPr="00B22241">
        <w:t xml:space="preserve"> better able to express their needs and influence decisions made about that community  </w:t>
      </w:r>
    </w:p>
    <w:p w:rsidR="00B22241" w:rsidRDefault="00A42419" w:rsidP="00A42419">
      <w:pPr>
        <w:pStyle w:val="NoSpacing"/>
        <w:numPr>
          <w:ilvl w:val="0"/>
          <w:numId w:val="15"/>
        </w:numPr>
      </w:pPr>
      <w:proofErr w:type="gramStart"/>
      <w:r>
        <w:t>n</w:t>
      </w:r>
      <w:r w:rsidR="00B22241" w:rsidRPr="00B22241">
        <w:t>eighbourhood</w:t>
      </w:r>
      <w:proofErr w:type="gramEnd"/>
      <w:r w:rsidR="00B22241" w:rsidRPr="00B22241">
        <w:t xml:space="preserve"> groups </w:t>
      </w:r>
      <w:r>
        <w:t>become</w:t>
      </w:r>
      <w:r w:rsidR="00B22241" w:rsidRPr="00B22241">
        <w:t xml:space="preserve"> better able to take control of resources needed to make a difference, enhancing confidence; capability and partnership.</w:t>
      </w:r>
    </w:p>
    <w:p w:rsidR="00A42419" w:rsidRDefault="00A42419" w:rsidP="00A42419">
      <w:pPr>
        <w:pStyle w:val="NoSpacing"/>
      </w:pPr>
    </w:p>
    <w:p w:rsidR="00A42419" w:rsidRDefault="00A42419" w:rsidP="00A42419">
      <w:pPr>
        <w:pStyle w:val="NoSpacing"/>
      </w:pPr>
      <w:r>
        <w:t>All grants must be fully matched in cash or kind and public sector funds and staff time may not be used to provide this match.</w:t>
      </w:r>
    </w:p>
    <w:p w:rsidR="00A42419" w:rsidRDefault="00A42419" w:rsidP="00A42419">
      <w:pPr>
        <w:pStyle w:val="NoSpacing"/>
      </w:pPr>
    </w:p>
    <w:p w:rsidR="00A42419" w:rsidRDefault="00A42419" w:rsidP="00A42419">
      <w:pPr>
        <w:pStyle w:val="NoSpacing"/>
      </w:pPr>
    </w:p>
    <w:p w:rsidR="00A42419" w:rsidRDefault="00A42419" w:rsidP="002A5210">
      <w:pPr>
        <w:pStyle w:val="NoSpacing"/>
        <w:numPr>
          <w:ilvl w:val="0"/>
          <w:numId w:val="18"/>
        </w:numPr>
        <w:ind w:left="426" w:hanging="426"/>
        <w:rPr>
          <w:b/>
        </w:rPr>
      </w:pPr>
      <w:r w:rsidRPr="00A42419">
        <w:rPr>
          <w:b/>
        </w:rPr>
        <w:t>St. Crispin’s First</w:t>
      </w:r>
    </w:p>
    <w:p w:rsidR="00A42419" w:rsidRDefault="00A42419" w:rsidP="00A42419">
      <w:pPr>
        <w:pStyle w:val="NoSpacing"/>
        <w:rPr>
          <w:b/>
        </w:rPr>
      </w:pPr>
    </w:p>
    <w:p w:rsidR="002A5210" w:rsidRDefault="00A42419" w:rsidP="00A42419">
      <w:pPr>
        <w:pStyle w:val="NoSpacing"/>
        <w:rPr>
          <w:rFonts w:cs="Arial"/>
          <w:szCs w:val="24"/>
        </w:rPr>
      </w:pPr>
      <w:r>
        <w:t xml:space="preserve">The former St. Crispin’s Ward was awarded </w:t>
      </w:r>
      <w:r w:rsidRPr="00A42419">
        <w:rPr>
          <w:rFonts w:cs="Arial"/>
          <w:szCs w:val="24"/>
        </w:rPr>
        <w:t>£84,775</w:t>
      </w:r>
      <w:r>
        <w:rPr>
          <w:rFonts w:cs="Arial"/>
          <w:szCs w:val="24"/>
        </w:rPr>
        <w:t>,</w:t>
      </w:r>
      <w:r w:rsidRPr="00A42419">
        <w:rPr>
          <w:rFonts w:cs="Arial"/>
          <w:szCs w:val="24"/>
        </w:rPr>
        <w:t xml:space="preserve"> </w:t>
      </w:r>
      <w:r>
        <w:rPr>
          <w:rFonts w:cs="Arial"/>
          <w:szCs w:val="24"/>
        </w:rPr>
        <w:t xml:space="preserve">to be spent across the four financial years from 2011/2 to 2015/5.  A Community Panel was nominated at a major public consultation meeting, consisting of representatives of the major Resident Associations in the Ward.  The Open Door Centre, a church-based charity supporting the community in the area, was appointed to be the Panel Partner, administering, monitoring and reporting on the Panel’s funding decisions.  </w:t>
      </w:r>
      <w:r w:rsidR="002A5210">
        <w:rPr>
          <w:rFonts w:cs="Arial"/>
          <w:szCs w:val="24"/>
        </w:rPr>
        <w:t>The Panel adopted the following funding priorities following a further open public meeting:</w:t>
      </w:r>
    </w:p>
    <w:p w:rsidR="002A5210" w:rsidRPr="00CB30F7" w:rsidRDefault="002A5210" w:rsidP="002A5210">
      <w:pPr>
        <w:pStyle w:val="NoSpacing"/>
        <w:ind w:left="284" w:hanging="284"/>
        <w:rPr>
          <w:rFonts w:cs="Arial"/>
          <w:sz w:val="32"/>
          <w:szCs w:val="32"/>
        </w:rPr>
      </w:pPr>
    </w:p>
    <w:p w:rsidR="002A5210" w:rsidRPr="002A5210" w:rsidRDefault="002A5210" w:rsidP="002A5210">
      <w:pPr>
        <w:pStyle w:val="NoSpacing"/>
        <w:numPr>
          <w:ilvl w:val="2"/>
          <w:numId w:val="17"/>
        </w:numPr>
        <w:ind w:left="709" w:hanging="283"/>
        <w:rPr>
          <w:rFonts w:cs="Arial"/>
          <w:szCs w:val="24"/>
        </w:rPr>
      </w:pPr>
      <w:r w:rsidRPr="002A5210">
        <w:rPr>
          <w:rFonts w:cs="Arial"/>
          <w:szCs w:val="24"/>
        </w:rPr>
        <w:t>improving the local area</w:t>
      </w:r>
    </w:p>
    <w:p w:rsidR="002A5210" w:rsidRPr="002A5210" w:rsidRDefault="002A5210" w:rsidP="002A5210">
      <w:pPr>
        <w:pStyle w:val="NoSpacing"/>
        <w:numPr>
          <w:ilvl w:val="2"/>
          <w:numId w:val="17"/>
        </w:numPr>
        <w:ind w:left="709" w:hanging="283"/>
        <w:rPr>
          <w:rFonts w:cs="Arial"/>
          <w:szCs w:val="24"/>
        </w:rPr>
      </w:pPr>
      <w:r w:rsidRPr="002A5210">
        <w:rPr>
          <w:rFonts w:cs="Arial"/>
          <w:szCs w:val="24"/>
        </w:rPr>
        <w:t xml:space="preserve">increasing the range of activities, opportunities and support for all </w:t>
      </w:r>
    </w:p>
    <w:p w:rsidR="002A5210" w:rsidRPr="002A5210" w:rsidRDefault="002A5210" w:rsidP="002A5210">
      <w:pPr>
        <w:pStyle w:val="NoSpacing"/>
        <w:numPr>
          <w:ilvl w:val="2"/>
          <w:numId w:val="17"/>
        </w:numPr>
        <w:ind w:left="709" w:hanging="283"/>
        <w:rPr>
          <w:rFonts w:cs="Arial"/>
          <w:szCs w:val="24"/>
        </w:rPr>
      </w:pPr>
      <w:r w:rsidRPr="002A5210">
        <w:rPr>
          <w:rFonts w:cs="Arial"/>
          <w:szCs w:val="24"/>
        </w:rPr>
        <w:lastRenderedPageBreak/>
        <w:t>reducing the fear of anti-social behaviour and crime</w:t>
      </w:r>
    </w:p>
    <w:p w:rsidR="002A5210" w:rsidRPr="002A5210" w:rsidRDefault="002A5210" w:rsidP="002A5210">
      <w:pPr>
        <w:pStyle w:val="NoSpacing"/>
        <w:numPr>
          <w:ilvl w:val="2"/>
          <w:numId w:val="17"/>
        </w:numPr>
        <w:ind w:left="709" w:hanging="283"/>
        <w:rPr>
          <w:rFonts w:cs="Arial"/>
          <w:szCs w:val="24"/>
        </w:rPr>
      </w:pPr>
      <w:r w:rsidRPr="002A5210">
        <w:rPr>
          <w:rFonts w:cs="Arial"/>
          <w:szCs w:val="24"/>
        </w:rPr>
        <w:t>improving the health and well-being of local people</w:t>
      </w:r>
    </w:p>
    <w:p w:rsidR="002A5210" w:rsidRPr="002A5210" w:rsidRDefault="002A5210" w:rsidP="002A5210">
      <w:pPr>
        <w:pStyle w:val="NoSpacing"/>
        <w:numPr>
          <w:ilvl w:val="2"/>
          <w:numId w:val="17"/>
        </w:numPr>
        <w:ind w:left="709" w:hanging="283"/>
        <w:rPr>
          <w:rFonts w:cs="Arial"/>
          <w:szCs w:val="24"/>
        </w:rPr>
      </w:pPr>
      <w:r w:rsidRPr="002A5210">
        <w:rPr>
          <w:rFonts w:cs="Arial"/>
          <w:szCs w:val="24"/>
        </w:rPr>
        <w:t>bringing different communities in the area closer together</w:t>
      </w:r>
    </w:p>
    <w:p w:rsidR="002A5210" w:rsidRPr="00CB30F7" w:rsidRDefault="002A5210" w:rsidP="002A5210">
      <w:pPr>
        <w:pStyle w:val="NoSpacing"/>
        <w:ind w:left="284" w:hanging="284"/>
        <w:rPr>
          <w:rFonts w:cs="Arial"/>
          <w:sz w:val="32"/>
          <w:szCs w:val="32"/>
        </w:rPr>
      </w:pPr>
    </w:p>
    <w:p w:rsidR="00A42419" w:rsidRPr="00CB30F7" w:rsidRDefault="002A5210" w:rsidP="00A42419">
      <w:pPr>
        <w:pStyle w:val="NoSpacing"/>
        <w:rPr>
          <w:rFonts w:cs="Arial"/>
          <w:sz w:val="32"/>
          <w:szCs w:val="32"/>
        </w:rPr>
      </w:pPr>
      <w:r>
        <w:rPr>
          <w:rFonts w:cs="Arial"/>
          <w:szCs w:val="24"/>
        </w:rPr>
        <w:t xml:space="preserve">In its first two years of operation, the Panel made </w:t>
      </w:r>
      <w:r w:rsidR="00A42419" w:rsidRPr="00A42419">
        <w:rPr>
          <w:rFonts w:cs="Arial"/>
          <w:szCs w:val="24"/>
        </w:rPr>
        <w:t xml:space="preserve">15 grants totalling £33,420, </w:t>
      </w:r>
      <w:r>
        <w:rPr>
          <w:rFonts w:cs="Arial"/>
          <w:szCs w:val="24"/>
        </w:rPr>
        <w:t>leaving</w:t>
      </w:r>
      <w:r w:rsidR="00A42419" w:rsidRPr="00A42419">
        <w:rPr>
          <w:rFonts w:cs="Arial"/>
          <w:szCs w:val="24"/>
        </w:rPr>
        <w:t xml:space="preserve"> £51,355 </w:t>
      </w:r>
      <w:r>
        <w:rPr>
          <w:rFonts w:cs="Arial"/>
          <w:szCs w:val="24"/>
        </w:rPr>
        <w:t>to be disbursed in 2013/4 and 2014/5.  This Community Plan has been written and adopted to provide a framework for allocations in those two years.</w:t>
      </w:r>
    </w:p>
    <w:p w:rsidR="00A42419" w:rsidRPr="00A42419" w:rsidRDefault="00A42419" w:rsidP="00A42419">
      <w:pPr>
        <w:pStyle w:val="NoSpacing"/>
      </w:pPr>
    </w:p>
    <w:p w:rsidR="00B22241" w:rsidRDefault="00B22241" w:rsidP="00F63069">
      <w:pPr>
        <w:pStyle w:val="NoSpacing"/>
        <w:rPr>
          <w:rFonts w:cs="Arial"/>
          <w:b/>
          <w:sz w:val="28"/>
          <w:szCs w:val="28"/>
        </w:rPr>
      </w:pPr>
    </w:p>
    <w:p w:rsidR="00F63069" w:rsidRPr="00B22241" w:rsidRDefault="00F63069" w:rsidP="002A5210">
      <w:pPr>
        <w:pStyle w:val="NoSpacing"/>
        <w:numPr>
          <w:ilvl w:val="0"/>
          <w:numId w:val="18"/>
        </w:numPr>
        <w:ind w:left="426" w:hanging="426"/>
        <w:rPr>
          <w:rFonts w:cs="Arial"/>
          <w:b/>
          <w:szCs w:val="24"/>
        </w:rPr>
      </w:pPr>
      <w:r w:rsidRPr="00B22241">
        <w:rPr>
          <w:rFonts w:cs="Arial"/>
          <w:b/>
          <w:szCs w:val="24"/>
        </w:rPr>
        <w:t>Community Profile</w:t>
      </w:r>
      <w:r w:rsidR="002A5210">
        <w:rPr>
          <w:rFonts w:cs="Arial"/>
          <w:b/>
          <w:szCs w:val="24"/>
        </w:rPr>
        <w:t xml:space="preserve"> of the former St. Crispin’s ward</w:t>
      </w:r>
    </w:p>
    <w:p w:rsidR="00F63069" w:rsidRDefault="00F63069" w:rsidP="00F63069">
      <w:pPr>
        <w:pStyle w:val="NoSpacing"/>
        <w:rPr>
          <w:rFonts w:cs="Arial"/>
          <w:b/>
          <w:szCs w:val="24"/>
        </w:rPr>
      </w:pPr>
    </w:p>
    <w:p w:rsidR="00F63069" w:rsidRPr="00D77CA6" w:rsidRDefault="00F63069" w:rsidP="00F63069">
      <w:pPr>
        <w:pStyle w:val="NoSpacing"/>
        <w:rPr>
          <w:rFonts w:cs="Arial"/>
          <w:b/>
          <w:i/>
          <w:szCs w:val="24"/>
        </w:rPr>
      </w:pPr>
      <w:r w:rsidRPr="00D77CA6">
        <w:rPr>
          <w:rFonts w:cs="Arial"/>
          <w:b/>
          <w:i/>
          <w:szCs w:val="24"/>
        </w:rPr>
        <w:t>Location</w:t>
      </w:r>
    </w:p>
    <w:p w:rsidR="00F63069" w:rsidRPr="00D77CA6" w:rsidRDefault="00F63069" w:rsidP="00F63069">
      <w:pPr>
        <w:pStyle w:val="NoSpacing"/>
        <w:rPr>
          <w:rFonts w:cs="Arial"/>
          <w:b/>
          <w:i/>
          <w:szCs w:val="24"/>
        </w:rPr>
      </w:pPr>
    </w:p>
    <w:p w:rsidR="00832A15" w:rsidRDefault="00BD505A" w:rsidP="00F63069">
      <w:pPr>
        <w:pStyle w:val="NoSpacing"/>
        <w:rPr>
          <w:rFonts w:cs="Arial"/>
          <w:szCs w:val="24"/>
        </w:rPr>
      </w:pPr>
      <w:r>
        <w:rPr>
          <w:rFonts w:cs="Arial"/>
          <w:szCs w:val="24"/>
        </w:rPr>
        <w:t xml:space="preserve">The former St. Crispin’s Ward is located to the east of Northampton town centre. The Ward has since been broken up by the Boundaries Commission and is now divided between Castle and Abington &amp; </w:t>
      </w:r>
      <w:proofErr w:type="spellStart"/>
      <w:r>
        <w:rPr>
          <w:rFonts w:cs="Arial"/>
          <w:szCs w:val="24"/>
        </w:rPr>
        <w:t>Phippsville</w:t>
      </w:r>
      <w:proofErr w:type="spellEnd"/>
      <w:r>
        <w:rPr>
          <w:rFonts w:cs="Arial"/>
          <w:szCs w:val="24"/>
        </w:rPr>
        <w:t xml:space="preserve"> Wards.  </w:t>
      </w:r>
    </w:p>
    <w:p w:rsidR="00832A15" w:rsidRDefault="00832A15" w:rsidP="00F63069">
      <w:pPr>
        <w:pStyle w:val="NoSpacing"/>
        <w:rPr>
          <w:rFonts w:cs="Arial"/>
          <w:szCs w:val="24"/>
        </w:rPr>
      </w:pPr>
    </w:p>
    <w:p w:rsidR="00F63069" w:rsidRDefault="00BD505A" w:rsidP="00F63069">
      <w:pPr>
        <w:pStyle w:val="NoSpacing"/>
        <w:rPr>
          <w:rFonts w:cs="Arial"/>
          <w:szCs w:val="24"/>
        </w:rPr>
      </w:pPr>
      <w:r>
        <w:rPr>
          <w:rFonts w:cs="Arial"/>
          <w:szCs w:val="24"/>
        </w:rPr>
        <w:t>Approximately half of t</w:t>
      </w:r>
      <w:r w:rsidR="000769CC">
        <w:rPr>
          <w:rFonts w:cs="Arial"/>
          <w:szCs w:val="24"/>
        </w:rPr>
        <w:t xml:space="preserve">he Ward’s geographical area is non-residential, including part of the town centre commercial area, Northampton General Hospital and St. Andrew’s NHS Trust, the car salesrooms and other premises on the north side of Bedford Road, and Becket’s </w:t>
      </w:r>
      <w:r w:rsidR="003736AC">
        <w:rPr>
          <w:rFonts w:cs="Arial"/>
          <w:szCs w:val="24"/>
        </w:rPr>
        <w:t>P</w:t>
      </w:r>
      <w:r w:rsidR="000769CC">
        <w:rPr>
          <w:rFonts w:cs="Arial"/>
          <w:szCs w:val="24"/>
        </w:rPr>
        <w:t>ark and Midsummer Meadows recreational areas</w:t>
      </w:r>
      <w:r w:rsidR="00832A15">
        <w:rPr>
          <w:rFonts w:cs="Arial"/>
          <w:szCs w:val="24"/>
        </w:rPr>
        <w:t xml:space="preserve"> as far east as the A45</w:t>
      </w:r>
      <w:r w:rsidR="000769CC">
        <w:rPr>
          <w:rFonts w:cs="Arial"/>
          <w:szCs w:val="24"/>
        </w:rPr>
        <w:t>.</w:t>
      </w:r>
      <w:r w:rsidR="00832A15">
        <w:rPr>
          <w:rFonts w:cs="Arial"/>
          <w:szCs w:val="24"/>
        </w:rPr>
        <w:t xml:space="preserve"> </w:t>
      </w:r>
      <w:r w:rsidR="003736AC">
        <w:rPr>
          <w:rFonts w:cs="Arial"/>
          <w:szCs w:val="24"/>
        </w:rPr>
        <w:t xml:space="preserve">The River Nene forms the southern boundary. </w:t>
      </w:r>
    </w:p>
    <w:p w:rsidR="003736AC" w:rsidRDefault="003736AC" w:rsidP="00F63069">
      <w:pPr>
        <w:pStyle w:val="NoSpacing"/>
        <w:rPr>
          <w:rFonts w:cs="Arial"/>
          <w:szCs w:val="24"/>
        </w:rPr>
      </w:pPr>
    </w:p>
    <w:p w:rsidR="00F63069" w:rsidRDefault="000769CC" w:rsidP="00F63069">
      <w:pPr>
        <w:pStyle w:val="NoSpacing"/>
        <w:rPr>
          <w:rFonts w:cs="Arial"/>
          <w:szCs w:val="24"/>
        </w:rPr>
      </w:pPr>
      <w:r>
        <w:rPr>
          <w:rFonts w:cs="Arial"/>
          <w:szCs w:val="24"/>
        </w:rPr>
        <w:t xml:space="preserve">The residential part of the Ward consists of </w:t>
      </w:r>
      <w:r w:rsidR="00832A15">
        <w:rPr>
          <w:rFonts w:cs="Arial"/>
          <w:szCs w:val="24"/>
        </w:rPr>
        <w:t>three main</w:t>
      </w:r>
      <w:r>
        <w:rPr>
          <w:rFonts w:cs="Arial"/>
          <w:szCs w:val="24"/>
        </w:rPr>
        <w:t xml:space="preserve"> areas</w:t>
      </w:r>
      <w:r w:rsidR="00832A15">
        <w:rPr>
          <w:rFonts w:cs="Arial"/>
          <w:szCs w:val="24"/>
        </w:rPr>
        <w:t xml:space="preserve"> of housing and a few residential properties scattered around the hospital and in one part of the town centre</w:t>
      </w:r>
      <w:r>
        <w:rPr>
          <w:rFonts w:cs="Arial"/>
          <w:szCs w:val="24"/>
        </w:rPr>
        <w:t>:</w:t>
      </w:r>
    </w:p>
    <w:p w:rsidR="000769CC" w:rsidRDefault="000769CC" w:rsidP="00F63069">
      <w:pPr>
        <w:pStyle w:val="NoSpacing"/>
        <w:rPr>
          <w:rFonts w:cs="Arial"/>
          <w:szCs w:val="24"/>
        </w:rPr>
      </w:pPr>
    </w:p>
    <w:p w:rsidR="000769CC" w:rsidRDefault="000769CC" w:rsidP="000769CC">
      <w:pPr>
        <w:pStyle w:val="NoSpacing"/>
        <w:numPr>
          <w:ilvl w:val="0"/>
          <w:numId w:val="8"/>
        </w:numPr>
        <w:rPr>
          <w:rFonts w:cs="Arial"/>
          <w:szCs w:val="24"/>
        </w:rPr>
      </w:pPr>
      <w:r>
        <w:rPr>
          <w:rFonts w:cs="Arial"/>
          <w:szCs w:val="24"/>
        </w:rPr>
        <w:t xml:space="preserve">the terraced streets running off either side of Kettering Road, from St. Michael’s Road to </w:t>
      </w:r>
      <w:proofErr w:type="spellStart"/>
      <w:r>
        <w:rPr>
          <w:rFonts w:cs="Arial"/>
          <w:szCs w:val="24"/>
        </w:rPr>
        <w:t>Colwyn</w:t>
      </w:r>
      <w:proofErr w:type="spellEnd"/>
      <w:r>
        <w:rPr>
          <w:rFonts w:cs="Arial"/>
          <w:szCs w:val="24"/>
        </w:rPr>
        <w:t xml:space="preserve"> Road to the west and from Talbot Road to Derby Road to the east.  The </w:t>
      </w:r>
      <w:r w:rsidR="00B91E48">
        <w:rPr>
          <w:rFonts w:cs="Arial"/>
          <w:szCs w:val="24"/>
        </w:rPr>
        <w:t>W</w:t>
      </w:r>
      <w:r>
        <w:rPr>
          <w:rFonts w:cs="Arial"/>
          <w:szCs w:val="24"/>
        </w:rPr>
        <w:t xml:space="preserve">ard boundary does not extend beyond </w:t>
      </w:r>
      <w:r w:rsidR="00B91E48">
        <w:rPr>
          <w:rFonts w:cs="Arial"/>
          <w:szCs w:val="24"/>
        </w:rPr>
        <w:t>M</w:t>
      </w:r>
      <w:r w:rsidR="000E0F14">
        <w:rPr>
          <w:rFonts w:cs="Arial"/>
          <w:szCs w:val="24"/>
        </w:rPr>
        <w:t>agee Street/Whitworth Road on t</w:t>
      </w:r>
      <w:r w:rsidR="00B91E48">
        <w:rPr>
          <w:rFonts w:cs="Arial"/>
          <w:szCs w:val="24"/>
        </w:rPr>
        <w:t>h</w:t>
      </w:r>
      <w:r w:rsidR="000E0F14">
        <w:rPr>
          <w:rFonts w:cs="Arial"/>
          <w:szCs w:val="24"/>
        </w:rPr>
        <w:t>e</w:t>
      </w:r>
      <w:r w:rsidR="00B91E48">
        <w:rPr>
          <w:rFonts w:cs="Arial"/>
          <w:szCs w:val="24"/>
        </w:rPr>
        <w:t xml:space="preserve"> east </w:t>
      </w:r>
      <w:r>
        <w:rPr>
          <w:rFonts w:cs="Arial"/>
          <w:szCs w:val="24"/>
        </w:rPr>
        <w:t xml:space="preserve">so </w:t>
      </w:r>
      <w:r w:rsidR="00B91E48">
        <w:rPr>
          <w:rFonts w:cs="Arial"/>
          <w:szCs w:val="24"/>
        </w:rPr>
        <w:t>only the western end of Derby Road and Turner and Perry Streets are included</w:t>
      </w:r>
    </w:p>
    <w:p w:rsidR="00B91E48" w:rsidRDefault="00B91E48" w:rsidP="000769CC">
      <w:pPr>
        <w:pStyle w:val="NoSpacing"/>
        <w:numPr>
          <w:ilvl w:val="0"/>
          <w:numId w:val="8"/>
        </w:numPr>
        <w:rPr>
          <w:rFonts w:cs="Arial"/>
          <w:szCs w:val="24"/>
        </w:rPr>
      </w:pPr>
      <w:r>
        <w:rPr>
          <w:rFonts w:cs="Arial"/>
          <w:szCs w:val="24"/>
        </w:rPr>
        <w:t>the relatively newly built PEMBA (Portland, Exeter, Market and Brunswick Places) estate in the apex of Kettering and Wellingborough Roads</w:t>
      </w:r>
    </w:p>
    <w:p w:rsidR="00B91E48" w:rsidRDefault="00B91E48" w:rsidP="000769CC">
      <w:pPr>
        <w:pStyle w:val="NoSpacing"/>
        <w:numPr>
          <w:ilvl w:val="0"/>
          <w:numId w:val="8"/>
        </w:numPr>
        <w:rPr>
          <w:rFonts w:cs="Arial"/>
          <w:szCs w:val="24"/>
        </w:rPr>
      </w:pPr>
      <w:r>
        <w:rPr>
          <w:rFonts w:cs="Arial"/>
          <w:szCs w:val="24"/>
        </w:rPr>
        <w:t>all residential streets north of Billing Road from York Road to the west through to Billing Road cemetery to the east</w:t>
      </w:r>
    </w:p>
    <w:p w:rsidR="00832A15" w:rsidRDefault="00832A15" w:rsidP="000769CC">
      <w:pPr>
        <w:pStyle w:val="NoSpacing"/>
        <w:numPr>
          <w:ilvl w:val="0"/>
          <w:numId w:val="8"/>
        </w:numPr>
        <w:rPr>
          <w:rFonts w:cs="Arial"/>
          <w:szCs w:val="24"/>
        </w:rPr>
      </w:pPr>
      <w:r>
        <w:rPr>
          <w:rFonts w:cs="Arial"/>
          <w:szCs w:val="24"/>
        </w:rPr>
        <w:t xml:space="preserve">the few residential properties to the south of Billing Road, in streets running off </w:t>
      </w:r>
      <w:proofErr w:type="spellStart"/>
      <w:r>
        <w:rPr>
          <w:rFonts w:cs="Arial"/>
          <w:szCs w:val="24"/>
        </w:rPr>
        <w:t>Cliftonville</w:t>
      </w:r>
      <w:proofErr w:type="spellEnd"/>
      <w:r>
        <w:rPr>
          <w:rFonts w:cs="Arial"/>
          <w:szCs w:val="24"/>
        </w:rPr>
        <w:t xml:space="preserve"> Road</w:t>
      </w:r>
    </w:p>
    <w:p w:rsidR="00832A15" w:rsidRDefault="00832A15" w:rsidP="000769CC">
      <w:pPr>
        <w:pStyle w:val="NoSpacing"/>
        <w:numPr>
          <w:ilvl w:val="0"/>
          <w:numId w:val="8"/>
        </w:numPr>
        <w:rPr>
          <w:rFonts w:cs="Arial"/>
          <w:szCs w:val="24"/>
        </w:rPr>
      </w:pPr>
      <w:r>
        <w:rPr>
          <w:rFonts w:cs="Arial"/>
          <w:szCs w:val="24"/>
        </w:rPr>
        <w:lastRenderedPageBreak/>
        <w:t xml:space="preserve">the few residential properties in the wedge of the town centre between </w:t>
      </w:r>
      <w:proofErr w:type="spellStart"/>
      <w:r>
        <w:rPr>
          <w:rFonts w:cs="Arial"/>
          <w:szCs w:val="24"/>
        </w:rPr>
        <w:t>Derngate</w:t>
      </w:r>
      <w:proofErr w:type="spellEnd"/>
      <w:r>
        <w:rPr>
          <w:rFonts w:cs="Arial"/>
          <w:szCs w:val="24"/>
        </w:rPr>
        <w:t xml:space="preserve"> and St. Giles Street </w:t>
      </w:r>
      <w:r w:rsidR="002468F9">
        <w:rPr>
          <w:rFonts w:cs="Arial"/>
          <w:szCs w:val="24"/>
        </w:rPr>
        <w:t xml:space="preserve"> and in the streets around St. John’s</w:t>
      </w:r>
    </w:p>
    <w:p w:rsidR="00F63069" w:rsidRDefault="00F63069" w:rsidP="00F63069">
      <w:pPr>
        <w:pStyle w:val="NoSpacing"/>
        <w:rPr>
          <w:rFonts w:cs="Arial"/>
          <w:szCs w:val="24"/>
        </w:rPr>
      </w:pPr>
    </w:p>
    <w:p w:rsidR="00F63069" w:rsidRPr="0075360F" w:rsidRDefault="00F63069" w:rsidP="00F63069">
      <w:pPr>
        <w:pStyle w:val="NoSpacing"/>
        <w:rPr>
          <w:rFonts w:cs="Arial"/>
          <w:b/>
          <w:i/>
          <w:szCs w:val="24"/>
        </w:rPr>
      </w:pPr>
      <w:r w:rsidRPr="0075360F">
        <w:rPr>
          <w:rFonts w:cs="Arial"/>
          <w:b/>
          <w:i/>
          <w:szCs w:val="24"/>
        </w:rPr>
        <w:t>Facilities and developments</w:t>
      </w:r>
    </w:p>
    <w:p w:rsidR="00F63069" w:rsidRPr="0075360F" w:rsidRDefault="00F63069" w:rsidP="00F63069">
      <w:pPr>
        <w:pStyle w:val="NoSpacing"/>
        <w:rPr>
          <w:rFonts w:cs="Arial"/>
          <w:szCs w:val="24"/>
        </w:rPr>
      </w:pPr>
    </w:p>
    <w:p w:rsidR="003736AC" w:rsidRDefault="00FC6588" w:rsidP="003736AC">
      <w:pPr>
        <w:pStyle w:val="NoSpacing"/>
        <w:rPr>
          <w:rFonts w:cs="Arial"/>
          <w:szCs w:val="24"/>
        </w:rPr>
      </w:pPr>
      <w:r>
        <w:rPr>
          <w:rFonts w:cs="Arial"/>
          <w:szCs w:val="24"/>
        </w:rPr>
        <w:t>The m</w:t>
      </w:r>
      <w:r w:rsidR="00DC6996">
        <w:rPr>
          <w:rFonts w:cs="Arial"/>
          <w:szCs w:val="24"/>
        </w:rPr>
        <w:t>ain housing tenures</w:t>
      </w:r>
      <w:r w:rsidR="002468F9">
        <w:rPr>
          <w:rFonts w:cs="Arial"/>
          <w:szCs w:val="24"/>
        </w:rPr>
        <w:t xml:space="preserve"> </w:t>
      </w:r>
      <w:r>
        <w:rPr>
          <w:rFonts w:cs="Arial"/>
          <w:szCs w:val="24"/>
        </w:rPr>
        <w:t xml:space="preserve">in the area </w:t>
      </w:r>
      <w:r w:rsidR="002468F9">
        <w:rPr>
          <w:rFonts w:cs="Arial"/>
          <w:szCs w:val="24"/>
        </w:rPr>
        <w:t>(</w:t>
      </w:r>
      <w:r w:rsidR="00B71606">
        <w:rPr>
          <w:rFonts w:cs="Arial"/>
          <w:szCs w:val="24"/>
        </w:rPr>
        <w:t>exclud</w:t>
      </w:r>
      <w:r>
        <w:rPr>
          <w:rFonts w:cs="Arial"/>
          <w:szCs w:val="24"/>
        </w:rPr>
        <w:t>ing</w:t>
      </w:r>
      <w:r w:rsidR="00B71606">
        <w:rPr>
          <w:rFonts w:cs="Arial"/>
          <w:szCs w:val="24"/>
        </w:rPr>
        <w:t xml:space="preserve"> squats, rent to buy</w:t>
      </w:r>
      <w:r>
        <w:rPr>
          <w:rFonts w:cs="Arial"/>
          <w:szCs w:val="24"/>
        </w:rPr>
        <w:t xml:space="preserve"> and</w:t>
      </w:r>
      <w:r w:rsidR="00B71606">
        <w:rPr>
          <w:rFonts w:cs="Arial"/>
          <w:szCs w:val="24"/>
        </w:rPr>
        <w:t xml:space="preserve"> informal </w:t>
      </w:r>
      <w:r>
        <w:rPr>
          <w:rFonts w:cs="Arial"/>
          <w:szCs w:val="24"/>
        </w:rPr>
        <w:t>tenures</w:t>
      </w:r>
      <w:r w:rsidR="00B71606">
        <w:rPr>
          <w:rFonts w:cs="Arial"/>
          <w:szCs w:val="24"/>
        </w:rPr>
        <w:t>)</w:t>
      </w:r>
      <w:r>
        <w:rPr>
          <w:rFonts w:cs="Arial"/>
          <w:szCs w:val="24"/>
        </w:rPr>
        <w:t xml:space="preserve"> area as follows:</w:t>
      </w:r>
    </w:p>
    <w:p w:rsidR="00DC6996" w:rsidRDefault="00DC6996" w:rsidP="003736AC">
      <w:pPr>
        <w:pStyle w:val="NoSpacing"/>
        <w:rPr>
          <w:rFonts w:cs="Arial"/>
          <w:szCs w:val="24"/>
        </w:rPr>
      </w:pPr>
    </w:p>
    <w:tbl>
      <w:tblPr>
        <w:tblStyle w:val="TableGrid"/>
        <w:tblW w:w="0" w:type="auto"/>
        <w:tblLook w:val="04A0"/>
      </w:tblPr>
      <w:tblGrid>
        <w:gridCol w:w="2802"/>
        <w:gridCol w:w="1984"/>
        <w:gridCol w:w="2126"/>
        <w:gridCol w:w="1843"/>
        <w:gridCol w:w="1985"/>
        <w:gridCol w:w="1701"/>
        <w:gridCol w:w="1733"/>
      </w:tblGrid>
      <w:tr w:rsidR="002468F9" w:rsidTr="002468F9">
        <w:tc>
          <w:tcPr>
            <w:tcW w:w="2802" w:type="dxa"/>
          </w:tcPr>
          <w:p w:rsidR="002468F9" w:rsidRDefault="002468F9" w:rsidP="002468F9">
            <w:pPr>
              <w:pStyle w:val="NoSpacing"/>
              <w:jc w:val="center"/>
              <w:rPr>
                <w:rFonts w:cs="Arial"/>
                <w:b/>
                <w:szCs w:val="24"/>
              </w:rPr>
            </w:pPr>
          </w:p>
        </w:tc>
        <w:tc>
          <w:tcPr>
            <w:tcW w:w="1984" w:type="dxa"/>
          </w:tcPr>
          <w:p w:rsidR="002468F9" w:rsidRPr="000C025D" w:rsidRDefault="002468F9" w:rsidP="002468F9">
            <w:pPr>
              <w:pStyle w:val="NoSpacing"/>
              <w:jc w:val="center"/>
              <w:rPr>
                <w:rFonts w:cs="Arial"/>
                <w:b/>
                <w:szCs w:val="24"/>
              </w:rPr>
            </w:pPr>
            <w:r>
              <w:rPr>
                <w:rFonts w:cs="Arial"/>
                <w:b/>
                <w:szCs w:val="24"/>
              </w:rPr>
              <w:t xml:space="preserve">West of </w:t>
            </w:r>
            <w:proofErr w:type="spellStart"/>
            <w:r>
              <w:rPr>
                <w:rFonts w:cs="Arial"/>
                <w:b/>
                <w:szCs w:val="24"/>
              </w:rPr>
              <w:t>Kett</w:t>
            </w:r>
            <w:proofErr w:type="spellEnd"/>
            <w:r>
              <w:rPr>
                <w:rFonts w:cs="Arial"/>
                <w:b/>
                <w:szCs w:val="24"/>
              </w:rPr>
              <w:t xml:space="preserve"> Rd, north of Clare (LSOA 023B)</w:t>
            </w:r>
          </w:p>
        </w:tc>
        <w:tc>
          <w:tcPr>
            <w:tcW w:w="2126" w:type="dxa"/>
          </w:tcPr>
          <w:p w:rsidR="002468F9" w:rsidRDefault="002468F9" w:rsidP="002468F9">
            <w:pPr>
              <w:pStyle w:val="NoSpacing"/>
              <w:jc w:val="center"/>
              <w:rPr>
                <w:rFonts w:cs="Arial"/>
                <w:b/>
                <w:szCs w:val="24"/>
              </w:rPr>
            </w:pPr>
            <w:r>
              <w:rPr>
                <w:rFonts w:cs="Arial"/>
                <w:b/>
                <w:szCs w:val="24"/>
              </w:rPr>
              <w:t xml:space="preserve">West of </w:t>
            </w:r>
            <w:proofErr w:type="spellStart"/>
            <w:r>
              <w:rPr>
                <w:rFonts w:cs="Arial"/>
                <w:b/>
                <w:szCs w:val="24"/>
              </w:rPr>
              <w:t>Kett</w:t>
            </w:r>
            <w:proofErr w:type="spellEnd"/>
            <w:r>
              <w:rPr>
                <w:rFonts w:cs="Arial"/>
                <w:b/>
                <w:szCs w:val="24"/>
              </w:rPr>
              <w:t xml:space="preserve"> Rd, south of Clare</w:t>
            </w:r>
          </w:p>
          <w:p w:rsidR="002468F9" w:rsidRPr="000C025D" w:rsidRDefault="002468F9" w:rsidP="002468F9">
            <w:pPr>
              <w:pStyle w:val="NoSpacing"/>
              <w:jc w:val="center"/>
              <w:rPr>
                <w:rFonts w:cs="Arial"/>
                <w:b/>
                <w:szCs w:val="24"/>
              </w:rPr>
            </w:pPr>
            <w:r>
              <w:rPr>
                <w:rFonts w:cs="Arial"/>
                <w:b/>
                <w:szCs w:val="24"/>
              </w:rPr>
              <w:t>(LSOA 023C)</w:t>
            </w:r>
          </w:p>
        </w:tc>
        <w:tc>
          <w:tcPr>
            <w:tcW w:w="1843" w:type="dxa"/>
          </w:tcPr>
          <w:p w:rsidR="002468F9" w:rsidRDefault="002468F9" w:rsidP="002468F9">
            <w:pPr>
              <w:pStyle w:val="NoSpacing"/>
              <w:jc w:val="center"/>
              <w:rPr>
                <w:rFonts w:cs="Arial"/>
                <w:b/>
                <w:szCs w:val="24"/>
              </w:rPr>
            </w:pPr>
            <w:r>
              <w:rPr>
                <w:rFonts w:cs="Arial"/>
                <w:b/>
                <w:szCs w:val="24"/>
              </w:rPr>
              <w:t xml:space="preserve">East of </w:t>
            </w:r>
            <w:proofErr w:type="spellStart"/>
            <w:r>
              <w:rPr>
                <w:rFonts w:cs="Arial"/>
                <w:b/>
                <w:szCs w:val="24"/>
              </w:rPr>
              <w:t>Kett</w:t>
            </w:r>
            <w:proofErr w:type="spellEnd"/>
            <w:r>
              <w:rPr>
                <w:rFonts w:cs="Arial"/>
                <w:b/>
                <w:szCs w:val="24"/>
              </w:rPr>
              <w:t xml:space="preserve"> Rd and PEMBA</w:t>
            </w:r>
          </w:p>
          <w:p w:rsidR="002468F9" w:rsidRPr="000C025D" w:rsidRDefault="002468F9" w:rsidP="002468F9">
            <w:pPr>
              <w:pStyle w:val="NoSpacing"/>
              <w:jc w:val="center"/>
              <w:rPr>
                <w:rFonts w:cs="Arial"/>
                <w:b/>
                <w:szCs w:val="24"/>
              </w:rPr>
            </w:pPr>
            <w:r>
              <w:rPr>
                <w:rFonts w:cs="Arial"/>
                <w:b/>
                <w:szCs w:val="24"/>
              </w:rPr>
              <w:t>(LSOA 025C)</w:t>
            </w:r>
          </w:p>
        </w:tc>
        <w:tc>
          <w:tcPr>
            <w:tcW w:w="1985" w:type="dxa"/>
          </w:tcPr>
          <w:p w:rsidR="002468F9" w:rsidRDefault="002468F9" w:rsidP="002468F9">
            <w:pPr>
              <w:pStyle w:val="NoSpacing"/>
              <w:jc w:val="center"/>
              <w:rPr>
                <w:rFonts w:cs="Arial"/>
                <w:b/>
                <w:szCs w:val="24"/>
              </w:rPr>
            </w:pPr>
            <w:r>
              <w:rPr>
                <w:rFonts w:cs="Arial"/>
                <w:b/>
                <w:szCs w:val="24"/>
              </w:rPr>
              <w:t>St. Edmund’s and St. Michael</w:t>
            </w:r>
          </w:p>
          <w:p w:rsidR="002468F9" w:rsidRPr="000C025D" w:rsidRDefault="002468F9" w:rsidP="002468F9">
            <w:pPr>
              <w:pStyle w:val="NoSpacing"/>
              <w:jc w:val="center"/>
              <w:rPr>
                <w:rFonts w:cs="Arial"/>
                <w:b/>
                <w:szCs w:val="24"/>
              </w:rPr>
            </w:pPr>
            <w:r>
              <w:rPr>
                <w:rFonts w:cs="Arial"/>
                <w:b/>
                <w:szCs w:val="24"/>
              </w:rPr>
              <w:t>(LSOA 023D)</w:t>
            </w:r>
          </w:p>
        </w:tc>
        <w:tc>
          <w:tcPr>
            <w:tcW w:w="1701" w:type="dxa"/>
          </w:tcPr>
          <w:p w:rsidR="002468F9" w:rsidRDefault="002468F9" w:rsidP="002468F9">
            <w:pPr>
              <w:pStyle w:val="NoSpacing"/>
              <w:jc w:val="center"/>
              <w:rPr>
                <w:rFonts w:cs="Arial"/>
                <w:b/>
                <w:szCs w:val="24"/>
              </w:rPr>
            </w:pPr>
            <w:r>
              <w:rPr>
                <w:rFonts w:cs="Arial"/>
                <w:b/>
                <w:szCs w:val="24"/>
              </w:rPr>
              <w:t xml:space="preserve">Vernon </w:t>
            </w:r>
            <w:proofErr w:type="spellStart"/>
            <w:r>
              <w:rPr>
                <w:rFonts w:cs="Arial"/>
                <w:b/>
                <w:szCs w:val="24"/>
              </w:rPr>
              <w:t>Terr</w:t>
            </w:r>
            <w:proofErr w:type="spellEnd"/>
            <w:r>
              <w:rPr>
                <w:rFonts w:cs="Arial"/>
                <w:b/>
                <w:szCs w:val="24"/>
              </w:rPr>
              <w:t xml:space="preserve"> to cemetery</w:t>
            </w:r>
          </w:p>
          <w:p w:rsidR="002468F9" w:rsidRPr="000C025D" w:rsidRDefault="002468F9" w:rsidP="002468F9">
            <w:pPr>
              <w:pStyle w:val="NoSpacing"/>
              <w:jc w:val="center"/>
              <w:rPr>
                <w:rFonts w:cs="Arial"/>
                <w:b/>
                <w:szCs w:val="24"/>
              </w:rPr>
            </w:pPr>
            <w:r>
              <w:rPr>
                <w:rFonts w:cs="Arial"/>
                <w:b/>
                <w:szCs w:val="24"/>
              </w:rPr>
              <w:t>(LSOA 025B)</w:t>
            </w:r>
          </w:p>
        </w:tc>
        <w:tc>
          <w:tcPr>
            <w:tcW w:w="1733" w:type="dxa"/>
          </w:tcPr>
          <w:p w:rsidR="002468F9" w:rsidRPr="000C025D" w:rsidRDefault="002468F9" w:rsidP="002468F9">
            <w:pPr>
              <w:pStyle w:val="NoSpacing"/>
              <w:jc w:val="center"/>
              <w:rPr>
                <w:rFonts w:cs="Arial"/>
                <w:b/>
                <w:szCs w:val="24"/>
              </w:rPr>
            </w:pPr>
            <w:r w:rsidRPr="000C025D">
              <w:rPr>
                <w:rFonts w:cs="Arial"/>
                <w:b/>
                <w:szCs w:val="24"/>
              </w:rPr>
              <w:t>Northampton</w:t>
            </w:r>
          </w:p>
        </w:tc>
      </w:tr>
      <w:tr w:rsidR="002468F9" w:rsidTr="002468F9">
        <w:tc>
          <w:tcPr>
            <w:tcW w:w="2802" w:type="dxa"/>
          </w:tcPr>
          <w:p w:rsidR="002468F9" w:rsidRDefault="002468F9" w:rsidP="003736AC">
            <w:pPr>
              <w:pStyle w:val="NoSpacing"/>
              <w:rPr>
                <w:rFonts w:cs="Arial"/>
                <w:szCs w:val="24"/>
              </w:rPr>
            </w:pPr>
            <w:r>
              <w:rPr>
                <w:rFonts w:cs="Arial"/>
                <w:szCs w:val="24"/>
              </w:rPr>
              <w:t>Owner occupied</w:t>
            </w:r>
          </w:p>
        </w:tc>
        <w:tc>
          <w:tcPr>
            <w:tcW w:w="1984" w:type="dxa"/>
          </w:tcPr>
          <w:p w:rsidR="002468F9" w:rsidRDefault="002468F9" w:rsidP="00B71606">
            <w:pPr>
              <w:pStyle w:val="NoSpacing"/>
              <w:jc w:val="center"/>
              <w:rPr>
                <w:rFonts w:cs="Arial"/>
                <w:szCs w:val="24"/>
              </w:rPr>
            </w:pPr>
            <w:r>
              <w:rPr>
                <w:rFonts w:cs="Arial"/>
                <w:szCs w:val="24"/>
              </w:rPr>
              <w:t>35.9</w:t>
            </w:r>
          </w:p>
        </w:tc>
        <w:tc>
          <w:tcPr>
            <w:tcW w:w="2126" w:type="dxa"/>
          </w:tcPr>
          <w:p w:rsidR="002468F9" w:rsidRDefault="002468F9" w:rsidP="00B71606">
            <w:pPr>
              <w:pStyle w:val="NoSpacing"/>
              <w:jc w:val="center"/>
              <w:rPr>
                <w:rFonts w:cs="Arial"/>
                <w:szCs w:val="24"/>
              </w:rPr>
            </w:pPr>
            <w:r>
              <w:rPr>
                <w:rFonts w:cs="Arial"/>
                <w:szCs w:val="24"/>
              </w:rPr>
              <w:t>48.7</w:t>
            </w:r>
          </w:p>
        </w:tc>
        <w:tc>
          <w:tcPr>
            <w:tcW w:w="1843" w:type="dxa"/>
          </w:tcPr>
          <w:p w:rsidR="002468F9" w:rsidRDefault="002468F9" w:rsidP="00B71606">
            <w:pPr>
              <w:pStyle w:val="NoSpacing"/>
              <w:jc w:val="center"/>
              <w:rPr>
                <w:rFonts w:cs="Arial"/>
                <w:szCs w:val="24"/>
              </w:rPr>
            </w:pPr>
            <w:r>
              <w:rPr>
                <w:rFonts w:cs="Arial"/>
                <w:szCs w:val="24"/>
              </w:rPr>
              <w:t>35.8</w:t>
            </w:r>
          </w:p>
        </w:tc>
        <w:tc>
          <w:tcPr>
            <w:tcW w:w="1985" w:type="dxa"/>
          </w:tcPr>
          <w:p w:rsidR="002468F9" w:rsidRDefault="002468F9" w:rsidP="00B71606">
            <w:pPr>
              <w:pStyle w:val="NoSpacing"/>
              <w:jc w:val="center"/>
              <w:rPr>
                <w:rFonts w:cs="Arial"/>
                <w:szCs w:val="24"/>
              </w:rPr>
            </w:pPr>
            <w:r>
              <w:rPr>
                <w:rFonts w:cs="Arial"/>
                <w:szCs w:val="24"/>
              </w:rPr>
              <w:t>36.1</w:t>
            </w:r>
          </w:p>
        </w:tc>
        <w:tc>
          <w:tcPr>
            <w:tcW w:w="1701" w:type="dxa"/>
          </w:tcPr>
          <w:p w:rsidR="002468F9" w:rsidRDefault="00B71606" w:rsidP="00B71606">
            <w:pPr>
              <w:pStyle w:val="NoSpacing"/>
              <w:jc w:val="center"/>
              <w:rPr>
                <w:rFonts w:cs="Arial"/>
                <w:szCs w:val="24"/>
              </w:rPr>
            </w:pPr>
            <w:r>
              <w:rPr>
                <w:rFonts w:cs="Arial"/>
                <w:szCs w:val="24"/>
              </w:rPr>
              <w:t>33.6</w:t>
            </w:r>
          </w:p>
        </w:tc>
        <w:tc>
          <w:tcPr>
            <w:tcW w:w="1733" w:type="dxa"/>
          </w:tcPr>
          <w:p w:rsidR="002468F9" w:rsidRDefault="00B71606" w:rsidP="00B71606">
            <w:pPr>
              <w:pStyle w:val="NoSpacing"/>
              <w:jc w:val="center"/>
              <w:rPr>
                <w:rFonts w:cs="Arial"/>
                <w:szCs w:val="24"/>
              </w:rPr>
            </w:pPr>
            <w:r>
              <w:rPr>
                <w:rFonts w:cs="Arial"/>
                <w:szCs w:val="24"/>
              </w:rPr>
              <w:t>62.6</w:t>
            </w:r>
          </w:p>
        </w:tc>
      </w:tr>
      <w:tr w:rsidR="002468F9" w:rsidTr="002468F9">
        <w:tc>
          <w:tcPr>
            <w:tcW w:w="2802" w:type="dxa"/>
          </w:tcPr>
          <w:p w:rsidR="002468F9" w:rsidRDefault="002468F9" w:rsidP="003736AC">
            <w:pPr>
              <w:pStyle w:val="NoSpacing"/>
              <w:rPr>
                <w:rFonts w:cs="Arial"/>
                <w:szCs w:val="24"/>
              </w:rPr>
            </w:pPr>
            <w:r>
              <w:rPr>
                <w:rFonts w:cs="Arial"/>
                <w:szCs w:val="24"/>
              </w:rPr>
              <w:t>Council rented</w:t>
            </w:r>
          </w:p>
        </w:tc>
        <w:tc>
          <w:tcPr>
            <w:tcW w:w="1984" w:type="dxa"/>
          </w:tcPr>
          <w:p w:rsidR="002468F9" w:rsidRDefault="002468F9" w:rsidP="00B71606">
            <w:pPr>
              <w:pStyle w:val="NoSpacing"/>
              <w:jc w:val="center"/>
              <w:rPr>
                <w:rFonts w:cs="Arial"/>
                <w:szCs w:val="24"/>
              </w:rPr>
            </w:pPr>
            <w:r>
              <w:rPr>
                <w:rFonts w:cs="Arial"/>
                <w:szCs w:val="24"/>
              </w:rPr>
              <w:t>1.9</w:t>
            </w:r>
          </w:p>
        </w:tc>
        <w:tc>
          <w:tcPr>
            <w:tcW w:w="2126" w:type="dxa"/>
          </w:tcPr>
          <w:p w:rsidR="002468F9" w:rsidRDefault="002468F9" w:rsidP="00B71606">
            <w:pPr>
              <w:pStyle w:val="NoSpacing"/>
              <w:jc w:val="center"/>
              <w:rPr>
                <w:rFonts w:cs="Arial"/>
                <w:szCs w:val="24"/>
              </w:rPr>
            </w:pPr>
            <w:r>
              <w:rPr>
                <w:rFonts w:cs="Arial"/>
                <w:szCs w:val="24"/>
              </w:rPr>
              <w:t>0.8</w:t>
            </w:r>
          </w:p>
        </w:tc>
        <w:tc>
          <w:tcPr>
            <w:tcW w:w="1843" w:type="dxa"/>
          </w:tcPr>
          <w:p w:rsidR="002468F9" w:rsidRDefault="002468F9" w:rsidP="00B71606">
            <w:pPr>
              <w:pStyle w:val="NoSpacing"/>
              <w:jc w:val="center"/>
              <w:rPr>
                <w:rFonts w:cs="Arial"/>
                <w:szCs w:val="24"/>
              </w:rPr>
            </w:pPr>
            <w:r>
              <w:rPr>
                <w:rFonts w:cs="Arial"/>
                <w:szCs w:val="24"/>
              </w:rPr>
              <w:t>16.3</w:t>
            </w:r>
          </w:p>
        </w:tc>
        <w:tc>
          <w:tcPr>
            <w:tcW w:w="1985" w:type="dxa"/>
          </w:tcPr>
          <w:p w:rsidR="002468F9" w:rsidRDefault="002468F9" w:rsidP="00B71606">
            <w:pPr>
              <w:pStyle w:val="NoSpacing"/>
              <w:jc w:val="center"/>
              <w:rPr>
                <w:rFonts w:cs="Arial"/>
                <w:szCs w:val="24"/>
              </w:rPr>
            </w:pPr>
            <w:r>
              <w:rPr>
                <w:rFonts w:cs="Arial"/>
                <w:szCs w:val="24"/>
              </w:rPr>
              <w:t>11.9</w:t>
            </w:r>
          </w:p>
        </w:tc>
        <w:tc>
          <w:tcPr>
            <w:tcW w:w="1701" w:type="dxa"/>
          </w:tcPr>
          <w:p w:rsidR="002468F9" w:rsidRDefault="00B71606" w:rsidP="00B71606">
            <w:pPr>
              <w:pStyle w:val="NoSpacing"/>
              <w:jc w:val="center"/>
              <w:rPr>
                <w:rFonts w:cs="Arial"/>
                <w:szCs w:val="24"/>
              </w:rPr>
            </w:pPr>
            <w:r>
              <w:rPr>
                <w:rFonts w:cs="Arial"/>
                <w:szCs w:val="24"/>
              </w:rPr>
              <w:t>25.2</w:t>
            </w:r>
          </w:p>
        </w:tc>
        <w:tc>
          <w:tcPr>
            <w:tcW w:w="1733" w:type="dxa"/>
          </w:tcPr>
          <w:p w:rsidR="002468F9" w:rsidRDefault="00B71606" w:rsidP="00B71606">
            <w:pPr>
              <w:pStyle w:val="NoSpacing"/>
              <w:jc w:val="center"/>
              <w:rPr>
                <w:rFonts w:cs="Arial"/>
                <w:szCs w:val="24"/>
              </w:rPr>
            </w:pPr>
            <w:r>
              <w:rPr>
                <w:rFonts w:cs="Arial"/>
                <w:szCs w:val="24"/>
              </w:rPr>
              <w:t>12.8</w:t>
            </w:r>
          </w:p>
        </w:tc>
      </w:tr>
      <w:tr w:rsidR="002468F9" w:rsidTr="002468F9">
        <w:tc>
          <w:tcPr>
            <w:tcW w:w="2802" w:type="dxa"/>
          </w:tcPr>
          <w:p w:rsidR="002468F9" w:rsidRDefault="002468F9" w:rsidP="003736AC">
            <w:pPr>
              <w:pStyle w:val="NoSpacing"/>
              <w:rPr>
                <w:rFonts w:cs="Arial"/>
                <w:szCs w:val="24"/>
              </w:rPr>
            </w:pPr>
            <w:r>
              <w:rPr>
                <w:rFonts w:cs="Arial"/>
                <w:szCs w:val="24"/>
              </w:rPr>
              <w:t>Housing Association</w:t>
            </w:r>
          </w:p>
        </w:tc>
        <w:tc>
          <w:tcPr>
            <w:tcW w:w="1984" w:type="dxa"/>
          </w:tcPr>
          <w:p w:rsidR="002468F9" w:rsidRDefault="002468F9" w:rsidP="00B71606">
            <w:pPr>
              <w:pStyle w:val="NoSpacing"/>
              <w:jc w:val="center"/>
              <w:rPr>
                <w:rFonts w:cs="Arial"/>
                <w:szCs w:val="24"/>
              </w:rPr>
            </w:pPr>
            <w:r>
              <w:rPr>
                <w:rFonts w:cs="Arial"/>
                <w:szCs w:val="24"/>
              </w:rPr>
              <w:t>7.0</w:t>
            </w:r>
          </w:p>
        </w:tc>
        <w:tc>
          <w:tcPr>
            <w:tcW w:w="2126" w:type="dxa"/>
          </w:tcPr>
          <w:p w:rsidR="002468F9" w:rsidRDefault="002468F9" w:rsidP="00B71606">
            <w:pPr>
              <w:pStyle w:val="NoSpacing"/>
              <w:jc w:val="center"/>
              <w:rPr>
                <w:rFonts w:cs="Arial"/>
                <w:szCs w:val="24"/>
              </w:rPr>
            </w:pPr>
            <w:r>
              <w:rPr>
                <w:rFonts w:cs="Arial"/>
                <w:szCs w:val="24"/>
              </w:rPr>
              <w:t>7.9</w:t>
            </w:r>
          </w:p>
        </w:tc>
        <w:tc>
          <w:tcPr>
            <w:tcW w:w="1843" w:type="dxa"/>
          </w:tcPr>
          <w:p w:rsidR="002468F9" w:rsidRDefault="002468F9" w:rsidP="00B71606">
            <w:pPr>
              <w:pStyle w:val="NoSpacing"/>
              <w:jc w:val="center"/>
              <w:rPr>
                <w:rFonts w:cs="Arial"/>
                <w:szCs w:val="24"/>
              </w:rPr>
            </w:pPr>
            <w:r>
              <w:rPr>
                <w:rFonts w:cs="Arial"/>
                <w:szCs w:val="24"/>
              </w:rPr>
              <w:t>7.6</w:t>
            </w:r>
          </w:p>
        </w:tc>
        <w:tc>
          <w:tcPr>
            <w:tcW w:w="1985" w:type="dxa"/>
          </w:tcPr>
          <w:p w:rsidR="002468F9" w:rsidRDefault="002468F9" w:rsidP="00B71606">
            <w:pPr>
              <w:pStyle w:val="NoSpacing"/>
              <w:jc w:val="center"/>
              <w:rPr>
                <w:rFonts w:cs="Arial"/>
                <w:szCs w:val="24"/>
              </w:rPr>
            </w:pPr>
            <w:r>
              <w:rPr>
                <w:rFonts w:cs="Arial"/>
                <w:szCs w:val="24"/>
              </w:rPr>
              <w:t>4.1</w:t>
            </w:r>
          </w:p>
        </w:tc>
        <w:tc>
          <w:tcPr>
            <w:tcW w:w="1701" w:type="dxa"/>
          </w:tcPr>
          <w:p w:rsidR="002468F9" w:rsidRDefault="00B71606" w:rsidP="00B71606">
            <w:pPr>
              <w:pStyle w:val="NoSpacing"/>
              <w:jc w:val="center"/>
              <w:rPr>
                <w:rFonts w:cs="Arial"/>
                <w:szCs w:val="24"/>
              </w:rPr>
            </w:pPr>
            <w:r>
              <w:rPr>
                <w:rFonts w:cs="Arial"/>
                <w:szCs w:val="24"/>
              </w:rPr>
              <w:t>3.8</w:t>
            </w:r>
          </w:p>
        </w:tc>
        <w:tc>
          <w:tcPr>
            <w:tcW w:w="1733" w:type="dxa"/>
          </w:tcPr>
          <w:p w:rsidR="002468F9" w:rsidRDefault="00B71606" w:rsidP="00B71606">
            <w:pPr>
              <w:pStyle w:val="NoSpacing"/>
              <w:jc w:val="center"/>
              <w:rPr>
                <w:rFonts w:cs="Arial"/>
                <w:szCs w:val="24"/>
              </w:rPr>
            </w:pPr>
            <w:r>
              <w:rPr>
                <w:rFonts w:cs="Arial"/>
                <w:szCs w:val="24"/>
              </w:rPr>
              <w:t>4.3</w:t>
            </w:r>
          </w:p>
        </w:tc>
      </w:tr>
      <w:tr w:rsidR="002468F9" w:rsidTr="002468F9">
        <w:tc>
          <w:tcPr>
            <w:tcW w:w="2802" w:type="dxa"/>
          </w:tcPr>
          <w:p w:rsidR="002468F9" w:rsidRDefault="002468F9" w:rsidP="003736AC">
            <w:pPr>
              <w:pStyle w:val="NoSpacing"/>
              <w:rPr>
                <w:rFonts w:cs="Arial"/>
                <w:szCs w:val="24"/>
              </w:rPr>
            </w:pPr>
            <w:r>
              <w:rPr>
                <w:rFonts w:cs="Arial"/>
                <w:szCs w:val="24"/>
              </w:rPr>
              <w:t>Private rented</w:t>
            </w:r>
          </w:p>
        </w:tc>
        <w:tc>
          <w:tcPr>
            <w:tcW w:w="1984" w:type="dxa"/>
          </w:tcPr>
          <w:p w:rsidR="002468F9" w:rsidRDefault="002468F9" w:rsidP="00B71606">
            <w:pPr>
              <w:pStyle w:val="NoSpacing"/>
              <w:jc w:val="center"/>
              <w:rPr>
                <w:rFonts w:cs="Arial"/>
                <w:szCs w:val="24"/>
              </w:rPr>
            </w:pPr>
            <w:r>
              <w:rPr>
                <w:rFonts w:cs="Arial"/>
                <w:szCs w:val="24"/>
              </w:rPr>
              <w:t>51.4</w:t>
            </w:r>
          </w:p>
        </w:tc>
        <w:tc>
          <w:tcPr>
            <w:tcW w:w="2126" w:type="dxa"/>
          </w:tcPr>
          <w:p w:rsidR="002468F9" w:rsidRDefault="002468F9" w:rsidP="00B71606">
            <w:pPr>
              <w:pStyle w:val="NoSpacing"/>
              <w:jc w:val="center"/>
              <w:rPr>
                <w:rFonts w:cs="Arial"/>
                <w:szCs w:val="24"/>
              </w:rPr>
            </w:pPr>
            <w:r>
              <w:rPr>
                <w:rFonts w:cs="Arial"/>
                <w:szCs w:val="24"/>
              </w:rPr>
              <w:t>40.4</w:t>
            </w:r>
          </w:p>
        </w:tc>
        <w:tc>
          <w:tcPr>
            <w:tcW w:w="1843" w:type="dxa"/>
          </w:tcPr>
          <w:p w:rsidR="002468F9" w:rsidRDefault="002468F9" w:rsidP="00B71606">
            <w:pPr>
              <w:pStyle w:val="NoSpacing"/>
              <w:jc w:val="center"/>
              <w:rPr>
                <w:rFonts w:cs="Arial"/>
                <w:szCs w:val="24"/>
              </w:rPr>
            </w:pPr>
            <w:r>
              <w:rPr>
                <w:rFonts w:cs="Arial"/>
                <w:szCs w:val="24"/>
              </w:rPr>
              <w:t>36.1</w:t>
            </w:r>
          </w:p>
        </w:tc>
        <w:tc>
          <w:tcPr>
            <w:tcW w:w="1985" w:type="dxa"/>
          </w:tcPr>
          <w:p w:rsidR="002468F9" w:rsidRDefault="002468F9" w:rsidP="00B71606">
            <w:pPr>
              <w:pStyle w:val="NoSpacing"/>
              <w:jc w:val="center"/>
              <w:rPr>
                <w:rFonts w:cs="Arial"/>
                <w:szCs w:val="24"/>
              </w:rPr>
            </w:pPr>
            <w:r>
              <w:rPr>
                <w:rFonts w:cs="Arial"/>
                <w:szCs w:val="24"/>
              </w:rPr>
              <w:t>44.7</w:t>
            </w:r>
          </w:p>
        </w:tc>
        <w:tc>
          <w:tcPr>
            <w:tcW w:w="1701" w:type="dxa"/>
          </w:tcPr>
          <w:p w:rsidR="002468F9" w:rsidRDefault="00B71606" w:rsidP="00B71606">
            <w:pPr>
              <w:pStyle w:val="NoSpacing"/>
              <w:jc w:val="center"/>
              <w:rPr>
                <w:rFonts w:cs="Arial"/>
                <w:szCs w:val="24"/>
              </w:rPr>
            </w:pPr>
            <w:r>
              <w:rPr>
                <w:rFonts w:cs="Arial"/>
                <w:szCs w:val="24"/>
              </w:rPr>
              <w:t>32.8</w:t>
            </w:r>
          </w:p>
        </w:tc>
        <w:tc>
          <w:tcPr>
            <w:tcW w:w="1733" w:type="dxa"/>
          </w:tcPr>
          <w:p w:rsidR="002468F9" w:rsidRDefault="00B71606" w:rsidP="00B71606">
            <w:pPr>
              <w:pStyle w:val="NoSpacing"/>
              <w:jc w:val="center"/>
              <w:rPr>
                <w:rFonts w:cs="Arial"/>
                <w:szCs w:val="24"/>
              </w:rPr>
            </w:pPr>
            <w:r>
              <w:rPr>
                <w:rFonts w:cs="Arial"/>
                <w:szCs w:val="24"/>
              </w:rPr>
              <w:t>16.5</w:t>
            </w:r>
          </w:p>
        </w:tc>
      </w:tr>
    </w:tbl>
    <w:p w:rsidR="00DC6996" w:rsidRDefault="00DC6996" w:rsidP="003736AC">
      <w:pPr>
        <w:pStyle w:val="NoSpacing"/>
        <w:rPr>
          <w:rFonts w:cs="Arial"/>
          <w:szCs w:val="24"/>
        </w:rPr>
      </w:pPr>
    </w:p>
    <w:p w:rsidR="003736AC" w:rsidRDefault="003736AC" w:rsidP="003736AC">
      <w:pPr>
        <w:pStyle w:val="NoSpacing"/>
        <w:rPr>
          <w:rFonts w:cs="Arial"/>
          <w:szCs w:val="24"/>
        </w:rPr>
      </w:pPr>
    </w:p>
    <w:p w:rsidR="002A5210" w:rsidRPr="00FC6588" w:rsidRDefault="003736AC" w:rsidP="003736AC">
      <w:pPr>
        <w:pStyle w:val="NoSpacing"/>
        <w:rPr>
          <w:rFonts w:cs="Arial"/>
          <w:b/>
          <w:i/>
          <w:szCs w:val="24"/>
        </w:rPr>
      </w:pPr>
      <w:r w:rsidRPr="00FC6588">
        <w:rPr>
          <w:rFonts w:cs="Arial"/>
          <w:b/>
          <w:i/>
          <w:szCs w:val="24"/>
        </w:rPr>
        <w:t xml:space="preserve">Parks and open spaces </w:t>
      </w:r>
    </w:p>
    <w:p w:rsidR="002A5210" w:rsidRDefault="002A5210" w:rsidP="003736AC">
      <w:pPr>
        <w:pStyle w:val="NoSpacing"/>
        <w:rPr>
          <w:rFonts w:cs="Arial"/>
          <w:szCs w:val="24"/>
        </w:rPr>
      </w:pPr>
    </w:p>
    <w:p w:rsidR="006F2EE3" w:rsidRDefault="002A5210" w:rsidP="002A5210">
      <w:pPr>
        <w:pStyle w:val="NoSpacing"/>
        <w:rPr>
          <w:rFonts w:cs="Arial"/>
          <w:szCs w:val="24"/>
        </w:rPr>
      </w:pPr>
      <w:r>
        <w:rPr>
          <w:rFonts w:cs="Arial"/>
          <w:szCs w:val="24"/>
        </w:rPr>
        <w:t>Most of the open public space within the Ward is in t</w:t>
      </w:r>
      <w:r w:rsidR="00FC6588">
        <w:rPr>
          <w:rFonts w:cs="Arial"/>
          <w:szCs w:val="24"/>
        </w:rPr>
        <w:t>he</w:t>
      </w:r>
      <w:r>
        <w:rPr>
          <w:rFonts w:cs="Arial"/>
          <w:szCs w:val="24"/>
        </w:rPr>
        <w:t xml:space="preserve"> non-residential south and includes the two major parks of Becket’s park and Midsummer Meadows.  However, these parks are at some distance from most of the homes in the ward and separated from them by at least two very busy </w:t>
      </w:r>
      <w:proofErr w:type="gramStart"/>
      <w:r>
        <w:rPr>
          <w:rFonts w:cs="Arial"/>
          <w:szCs w:val="24"/>
        </w:rPr>
        <w:t>A</w:t>
      </w:r>
      <w:proofErr w:type="gramEnd"/>
      <w:r>
        <w:rPr>
          <w:rFonts w:cs="Arial"/>
          <w:szCs w:val="24"/>
        </w:rPr>
        <w:t xml:space="preserve"> class roads (Billing Road and Bedford Road.  </w:t>
      </w:r>
      <w:r w:rsidR="006F2EE3">
        <w:rPr>
          <w:rFonts w:cs="Arial"/>
          <w:szCs w:val="24"/>
        </w:rPr>
        <w:t>Midsummer Meadows includes a major skateboarding facility which is very popular among skateboarders from across the whole town (and beyond).</w:t>
      </w:r>
    </w:p>
    <w:p w:rsidR="006F2EE3" w:rsidRDefault="006F2EE3" w:rsidP="002A5210">
      <w:pPr>
        <w:pStyle w:val="NoSpacing"/>
        <w:rPr>
          <w:rFonts w:cs="Arial"/>
          <w:szCs w:val="24"/>
        </w:rPr>
      </w:pPr>
    </w:p>
    <w:p w:rsidR="006F2EE3" w:rsidRDefault="002A5210" w:rsidP="002A5210">
      <w:pPr>
        <w:pStyle w:val="NoSpacing"/>
        <w:rPr>
          <w:rFonts w:cs="Arial"/>
          <w:szCs w:val="24"/>
        </w:rPr>
      </w:pPr>
      <w:r>
        <w:rPr>
          <w:rFonts w:cs="Arial"/>
          <w:szCs w:val="24"/>
        </w:rPr>
        <w:t>I</w:t>
      </w:r>
      <w:r w:rsidR="006F2EE3">
        <w:rPr>
          <w:rFonts w:cs="Arial"/>
          <w:szCs w:val="24"/>
        </w:rPr>
        <w:t xml:space="preserve">n practice two other parks are </w:t>
      </w:r>
      <w:r>
        <w:rPr>
          <w:rFonts w:cs="Arial"/>
          <w:szCs w:val="24"/>
        </w:rPr>
        <w:t>better used by t</w:t>
      </w:r>
      <w:r w:rsidR="006F2EE3">
        <w:rPr>
          <w:rFonts w:cs="Arial"/>
          <w:szCs w:val="24"/>
        </w:rPr>
        <w:t>he</w:t>
      </w:r>
      <w:r>
        <w:rPr>
          <w:rFonts w:cs="Arial"/>
          <w:szCs w:val="24"/>
        </w:rPr>
        <w:t xml:space="preserve"> Ward</w:t>
      </w:r>
      <w:r w:rsidR="006F2EE3">
        <w:rPr>
          <w:rFonts w:cs="Arial"/>
          <w:szCs w:val="24"/>
        </w:rPr>
        <w:t>’</w:t>
      </w:r>
      <w:r>
        <w:rPr>
          <w:rFonts w:cs="Arial"/>
          <w:szCs w:val="24"/>
        </w:rPr>
        <w:t xml:space="preserve">s residents.  Although it lies just over the boundary into Trinity Ward, The Racecourse - one of the town’s three </w:t>
      </w:r>
      <w:r w:rsidR="006F2EE3">
        <w:rPr>
          <w:rFonts w:cs="Arial"/>
          <w:szCs w:val="24"/>
        </w:rPr>
        <w:t>“</w:t>
      </w:r>
      <w:r>
        <w:rPr>
          <w:rFonts w:cs="Arial"/>
          <w:szCs w:val="24"/>
        </w:rPr>
        <w:t>premier parks</w:t>
      </w:r>
      <w:r w:rsidR="006F2EE3">
        <w:rPr>
          <w:rFonts w:cs="Arial"/>
          <w:szCs w:val="24"/>
        </w:rPr>
        <w:t>”</w:t>
      </w:r>
      <w:r>
        <w:rPr>
          <w:rFonts w:cs="Arial"/>
          <w:szCs w:val="24"/>
        </w:rPr>
        <w:t xml:space="preserve"> – is easily accessible to most residents of the Ward. </w:t>
      </w:r>
      <w:r w:rsidR="006F2EE3">
        <w:rPr>
          <w:rFonts w:cs="Arial"/>
          <w:szCs w:val="24"/>
        </w:rPr>
        <w:t xml:space="preserve">The park includes playing space, playgrounds and sports fields. The current </w:t>
      </w:r>
      <w:r>
        <w:rPr>
          <w:rFonts w:cs="Arial"/>
          <w:szCs w:val="24"/>
        </w:rPr>
        <w:t xml:space="preserve">refurbishment </w:t>
      </w:r>
      <w:r w:rsidR="006F2EE3">
        <w:rPr>
          <w:rFonts w:cs="Arial"/>
          <w:szCs w:val="24"/>
        </w:rPr>
        <w:t xml:space="preserve">of the Edwardian Pavilion building </w:t>
      </w:r>
      <w:r>
        <w:rPr>
          <w:rFonts w:cs="Arial"/>
          <w:szCs w:val="24"/>
        </w:rPr>
        <w:t>will mainly benefit residents of the area. Abington Park</w:t>
      </w:r>
      <w:r w:rsidR="006F2EE3">
        <w:rPr>
          <w:rFonts w:cs="Arial"/>
          <w:szCs w:val="24"/>
        </w:rPr>
        <w:t xml:space="preserve">, another of the “premier parks” and the town’s principal family park is fairly easily accessible by bus and by foot along the Wellingborough Road. </w:t>
      </w:r>
    </w:p>
    <w:p w:rsidR="002A5210" w:rsidRDefault="002A5210" w:rsidP="002A5210">
      <w:pPr>
        <w:pStyle w:val="NoSpacing"/>
        <w:rPr>
          <w:rFonts w:cs="Arial"/>
          <w:szCs w:val="24"/>
        </w:rPr>
      </w:pPr>
      <w:r>
        <w:rPr>
          <w:rFonts w:cs="Arial"/>
          <w:szCs w:val="24"/>
        </w:rPr>
        <w:t xml:space="preserve"> </w:t>
      </w:r>
    </w:p>
    <w:p w:rsidR="00FC6588" w:rsidRDefault="006F2EE3" w:rsidP="003736AC">
      <w:pPr>
        <w:pStyle w:val="NoSpacing"/>
        <w:rPr>
          <w:rFonts w:cs="Arial"/>
          <w:szCs w:val="24"/>
        </w:rPr>
      </w:pPr>
      <w:r>
        <w:rPr>
          <w:rFonts w:cs="Arial"/>
          <w:szCs w:val="24"/>
        </w:rPr>
        <w:t xml:space="preserve">A small </w:t>
      </w:r>
      <w:r w:rsidR="00FC6588">
        <w:rPr>
          <w:rFonts w:cs="Arial"/>
          <w:szCs w:val="24"/>
        </w:rPr>
        <w:t xml:space="preserve">area  of </w:t>
      </w:r>
      <w:r w:rsidR="00B41846">
        <w:rPr>
          <w:rFonts w:cs="Arial"/>
          <w:szCs w:val="24"/>
        </w:rPr>
        <w:t>probably less than one hectare</w:t>
      </w:r>
      <w:r>
        <w:rPr>
          <w:rFonts w:cs="Arial"/>
          <w:szCs w:val="24"/>
        </w:rPr>
        <w:t xml:space="preserve"> </w:t>
      </w:r>
      <w:r w:rsidR="00FC6588">
        <w:rPr>
          <w:rFonts w:cs="Arial"/>
          <w:szCs w:val="24"/>
        </w:rPr>
        <w:t>close to</w:t>
      </w:r>
      <w:r>
        <w:rPr>
          <w:rFonts w:cs="Arial"/>
          <w:szCs w:val="24"/>
        </w:rPr>
        <w:t xml:space="preserve"> the apex of Kettering Road and Wellingborough Road, known as Exeter Gardens, provides dog walking and play space for res</w:t>
      </w:r>
      <w:r w:rsidR="00FC6588">
        <w:rPr>
          <w:rFonts w:cs="Arial"/>
          <w:szCs w:val="24"/>
        </w:rPr>
        <w:t>ident</w:t>
      </w:r>
      <w:r>
        <w:rPr>
          <w:rFonts w:cs="Arial"/>
          <w:szCs w:val="24"/>
        </w:rPr>
        <w:t>s of the immediate vicinity</w:t>
      </w:r>
      <w:r w:rsidR="00FC6588">
        <w:rPr>
          <w:rFonts w:cs="Arial"/>
          <w:szCs w:val="24"/>
        </w:rPr>
        <w:t>,</w:t>
      </w:r>
      <w:r>
        <w:rPr>
          <w:rFonts w:cs="Arial"/>
          <w:szCs w:val="24"/>
        </w:rPr>
        <w:t xml:space="preserve"> th</w:t>
      </w:r>
      <w:r w:rsidR="00FC6588">
        <w:rPr>
          <w:rFonts w:cs="Arial"/>
          <w:szCs w:val="24"/>
        </w:rPr>
        <w:t>o</w:t>
      </w:r>
      <w:r>
        <w:rPr>
          <w:rFonts w:cs="Arial"/>
          <w:szCs w:val="24"/>
        </w:rPr>
        <w:t xml:space="preserve">ugh occasional anti-social use limits its </w:t>
      </w:r>
      <w:r>
        <w:rPr>
          <w:rFonts w:cs="Arial"/>
          <w:szCs w:val="24"/>
        </w:rPr>
        <w:lastRenderedPageBreak/>
        <w:t xml:space="preserve">perceived accessibility by many residents. </w:t>
      </w:r>
      <w:r w:rsidR="00FC6588">
        <w:rPr>
          <w:rFonts w:cs="Arial"/>
          <w:szCs w:val="24"/>
        </w:rPr>
        <w:t xml:space="preserve">The space is, however, highly prized by residents as a buffer against development and has been the subject of campaigns to have it designated as an urban village green.  </w:t>
      </w:r>
    </w:p>
    <w:p w:rsidR="00FC6588" w:rsidRDefault="00FC6588" w:rsidP="003736AC">
      <w:pPr>
        <w:pStyle w:val="NoSpacing"/>
        <w:rPr>
          <w:rFonts w:cs="Arial"/>
          <w:szCs w:val="24"/>
        </w:rPr>
      </w:pPr>
    </w:p>
    <w:p w:rsidR="00FC6588" w:rsidRDefault="00FC6588" w:rsidP="003736AC">
      <w:pPr>
        <w:pStyle w:val="NoSpacing"/>
        <w:rPr>
          <w:rFonts w:cs="Arial"/>
          <w:szCs w:val="24"/>
        </w:rPr>
      </w:pPr>
      <w:r>
        <w:rPr>
          <w:rFonts w:cs="Arial"/>
          <w:szCs w:val="24"/>
        </w:rPr>
        <w:t>The St. Edmund’s Residents Association are working to convert a disused cemetery of similar size into a public park and have already rec</w:t>
      </w:r>
      <w:r w:rsidR="008C42A3">
        <w:rPr>
          <w:rFonts w:cs="Arial"/>
          <w:szCs w:val="24"/>
        </w:rPr>
        <w:t>e</w:t>
      </w:r>
      <w:r>
        <w:rPr>
          <w:rFonts w:cs="Arial"/>
          <w:szCs w:val="24"/>
        </w:rPr>
        <w:t>ived a Community First grant to support this work.</w:t>
      </w:r>
    </w:p>
    <w:p w:rsidR="00FC6588" w:rsidRDefault="00FC6588" w:rsidP="003736AC">
      <w:pPr>
        <w:pStyle w:val="NoSpacing"/>
        <w:rPr>
          <w:rFonts w:cs="Arial"/>
          <w:szCs w:val="24"/>
        </w:rPr>
      </w:pPr>
    </w:p>
    <w:p w:rsidR="003736AC" w:rsidRPr="00FC6588" w:rsidRDefault="00FC6588" w:rsidP="00F63069">
      <w:pPr>
        <w:pStyle w:val="NoSpacing"/>
        <w:rPr>
          <w:rFonts w:cs="Arial"/>
          <w:i/>
          <w:szCs w:val="24"/>
        </w:rPr>
      </w:pPr>
      <w:r w:rsidRPr="00FC6588">
        <w:rPr>
          <w:rFonts w:cs="Arial"/>
          <w:i/>
          <w:szCs w:val="24"/>
        </w:rPr>
        <w:t>Other facilities</w:t>
      </w:r>
    </w:p>
    <w:p w:rsidR="00FC6588" w:rsidRDefault="00FC6588" w:rsidP="00F63069">
      <w:pPr>
        <w:pStyle w:val="NoSpacing"/>
        <w:rPr>
          <w:rFonts w:cs="Arial"/>
          <w:szCs w:val="24"/>
        </w:rPr>
      </w:pPr>
    </w:p>
    <w:p w:rsidR="00832A15" w:rsidRDefault="00FC6588" w:rsidP="00F63069">
      <w:pPr>
        <w:pStyle w:val="NoSpacing"/>
        <w:rPr>
          <w:rFonts w:cs="Arial"/>
          <w:szCs w:val="24"/>
        </w:rPr>
      </w:pPr>
      <w:r>
        <w:rPr>
          <w:rFonts w:cs="Arial"/>
          <w:szCs w:val="24"/>
        </w:rPr>
        <w:t>The area</w:t>
      </w:r>
      <w:r w:rsidR="003E40D3">
        <w:rPr>
          <w:rFonts w:cs="Arial"/>
          <w:szCs w:val="24"/>
        </w:rPr>
        <w:t xml:space="preserve"> is very close to the town centr</w:t>
      </w:r>
      <w:r>
        <w:rPr>
          <w:rFonts w:cs="Arial"/>
          <w:szCs w:val="24"/>
        </w:rPr>
        <w:t>e and ha</w:t>
      </w:r>
      <w:r w:rsidR="003E40D3">
        <w:rPr>
          <w:rFonts w:cs="Arial"/>
          <w:szCs w:val="24"/>
        </w:rPr>
        <w:t>s major shopping areas along the</w:t>
      </w:r>
      <w:r>
        <w:rPr>
          <w:rFonts w:cs="Arial"/>
          <w:szCs w:val="24"/>
        </w:rPr>
        <w:t xml:space="preserve"> main approach </w:t>
      </w:r>
      <w:r w:rsidR="003E40D3">
        <w:rPr>
          <w:rFonts w:cs="Arial"/>
          <w:szCs w:val="24"/>
        </w:rPr>
        <w:t>roads,</w:t>
      </w:r>
      <w:r>
        <w:rPr>
          <w:rFonts w:cs="Arial"/>
          <w:szCs w:val="24"/>
        </w:rPr>
        <w:t xml:space="preserve"> </w:t>
      </w:r>
      <w:r w:rsidR="003E40D3">
        <w:rPr>
          <w:rFonts w:cs="Arial"/>
          <w:szCs w:val="24"/>
        </w:rPr>
        <w:t xml:space="preserve">i.e. </w:t>
      </w:r>
      <w:r w:rsidR="00792575">
        <w:rPr>
          <w:rFonts w:cs="Arial"/>
          <w:szCs w:val="24"/>
        </w:rPr>
        <w:t>Kettering Road</w:t>
      </w:r>
      <w:r w:rsidR="003E40D3">
        <w:rPr>
          <w:rFonts w:cs="Arial"/>
          <w:szCs w:val="24"/>
        </w:rPr>
        <w:t xml:space="preserve"> and</w:t>
      </w:r>
      <w:r w:rsidR="00792575">
        <w:rPr>
          <w:rFonts w:cs="Arial"/>
          <w:szCs w:val="24"/>
        </w:rPr>
        <w:t xml:space="preserve"> Wellingborough Road.</w:t>
      </w:r>
      <w:r w:rsidR="008875AC">
        <w:rPr>
          <w:rFonts w:cs="Arial"/>
          <w:szCs w:val="24"/>
        </w:rPr>
        <w:t xml:space="preserve"> </w:t>
      </w:r>
      <w:r w:rsidR="003E40D3">
        <w:rPr>
          <w:rFonts w:cs="Arial"/>
          <w:szCs w:val="24"/>
        </w:rPr>
        <w:t>This can be a mixed blessing, attracting late night drinking and rowdy behaviour as well as providing employment and cheap and convenient shopping.</w:t>
      </w:r>
    </w:p>
    <w:p w:rsidR="00832A15" w:rsidRDefault="00832A15" w:rsidP="00F63069">
      <w:pPr>
        <w:pStyle w:val="NoSpacing"/>
        <w:rPr>
          <w:rFonts w:cs="Arial"/>
          <w:szCs w:val="24"/>
        </w:rPr>
      </w:pPr>
    </w:p>
    <w:p w:rsidR="00EC5349" w:rsidRDefault="003E40D3" w:rsidP="00F63069">
      <w:pPr>
        <w:pStyle w:val="NoSpacing"/>
        <w:rPr>
          <w:rFonts w:cs="Arial"/>
          <w:szCs w:val="24"/>
        </w:rPr>
      </w:pPr>
      <w:r>
        <w:rPr>
          <w:rFonts w:cs="Arial"/>
          <w:szCs w:val="24"/>
        </w:rPr>
        <w:t>A number of faith communit</w:t>
      </w:r>
      <w:r w:rsidR="008C42A3">
        <w:rPr>
          <w:rFonts w:cs="Arial"/>
          <w:szCs w:val="24"/>
        </w:rPr>
        <w:t>i</w:t>
      </w:r>
      <w:r>
        <w:rPr>
          <w:rFonts w:cs="Arial"/>
          <w:szCs w:val="24"/>
        </w:rPr>
        <w:t>es have a base in t</w:t>
      </w:r>
      <w:r w:rsidR="008C42A3">
        <w:rPr>
          <w:rFonts w:cs="Arial"/>
          <w:szCs w:val="24"/>
        </w:rPr>
        <w:t>he</w:t>
      </w:r>
      <w:r>
        <w:rPr>
          <w:rFonts w:cs="Arial"/>
          <w:szCs w:val="24"/>
        </w:rPr>
        <w:t xml:space="preserve"> area</w:t>
      </w:r>
      <w:r w:rsidR="00881300">
        <w:rPr>
          <w:rFonts w:cs="Arial"/>
          <w:szCs w:val="24"/>
        </w:rPr>
        <w:t xml:space="preserve">. Christian churches include </w:t>
      </w:r>
      <w:r>
        <w:rPr>
          <w:rFonts w:cs="Arial"/>
          <w:szCs w:val="24"/>
        </w:rPr>
        <w:t xml:space="preserve">the </w:t>
      </w:r>
      <w:r w:rsidR="00EC5349">
        <w:rPr>
          <w:rFonts w:cs="Arial"/>
          <w:szCs w:val="24"/>
        </w:rPr>
        <w:t>Mount Pleasant</w:t>
      </w:r>
      <w:r w:rsidR="00792575">
        <w:rPr>
          <w:rFonts w:cs="Arial"/>
          <w:szCs w:val="24"/>
        </w:rPr>
        <w:t xml:space="preserve"> Baptist</w:t>
      </w:r>
      <w:r>
        <w:rPr>
          <w:rFonts w:cs="Arial"/>
          <w:szCs w:val="24"/>
        </w:rPr>
        <w:t xml:space="preserve"> Church</w:t>
      </w:r>
      <w:r w:rsidR="00792575">
        <w:rPr>
          <w:rFonts w:cs="Arial"/>
          <w:szCs w:val="24"/>
        </w:rPr>
        <w:t xml:space="preserve">, </w:t>
      </w:r>
      <w:r w:rsidR="00EC5349">
        <w:rPr>
          <w:rFonts w:cs="Arial"/>
          <w:szCs w:val="24"/>
        </w:rPr>
        <w:t xml:space="preserve">St. Michael’s C of E </w:t>
      </w:r>
      <w:r w:rsidR="00881300">
        <w:rPr>
          <w:rFonts w:cs="Arial"/>
          <w:szCs w:val="24"/>
        </w:rPr>
        <w:t xml:space="preserve">church </w:t>
      </w:r>
      <w:r w:rsidR="00EC5349">
        <w:rPr>
          <w:rFonts w:cs="Arial"/>
          <w:szCs w:val="24"/>
        </w:rPr>
        <w:t xml:space="preserve">in Perry Street, </w:t>
      </w:r>
      <w:r w:rsidR="00CF711D">
        <w:rPr>
          <w:rFonts w:cs="Arial"/>
          <w:szCs w:val="24"/>
        </w:rPr>
        <w:t xml:space="preserve">St. Giles </w:t>
      </w:r>
      <w:r w:rsidR="00C64E44">
        <w:rPr>
          <w:rFonts w:cs="Arial"/>
          <w:szCs w:val="24"/>
        </w:rPr>
        <w:t>C</w:t>
      </w:r>
      <w:r w:rsidR="008C42A3">
        <w:rPr>
          <w:rFonts w:cs="Arial"/>
          <w:szCs w:val="24"/>
        </w:rPr>
        <w:t xml:space="preserve"> </w:t>
      </w:r>
      <w:r w:rsidR="00C64E44">
        <w:rPr>
          <w:rFonts w:cs="Arial"/>
          <w:szCs w:val="24"/>
        </w:rPr>
        <w:t>of E</w:t>
      </w:r>
      <w:r>
        <w:rPr>
          <w:rFonts w:cs="Arial"/>
          <w:szCs w:val="24"/>
        </w:rPr>
        <w:t xml:space="preserve"> church</w:t>
      </w:r>
      <w:r w:rsidR="00881300">
        <w:rPr>
          <w:rFonts w:cs="Arial"/>
          <w:szCs w:val="24"/>
        </w:rPr>
        <w:t xml:space="preserve"> in the town centre</w:t>
      </w:r>
      <w:r>
        <w:rPr>
          <w:rFonts w:cs="Arial"/>
          <w:szCs w:val="24"/>
        </w:rPr>
        <w:t xml:space="preserve">, </w:t>
      </w:r>
      <w:r w:rsidR="00881300">
        <w:rPr>
          <w:rFonts w:cs="Arial"/>
          <w:szCs w:val="24"/>
        </w:rPr>
        <w:t xml:space="preserve">Queen’s Grove Methodist Church, </w:t>
      </w:r>
      <w:r w:rsidR="002C2ECD">
        <w:rPr>
          <w:rFonts w:cs="Arial"/>
          <w:szCs w:val="24"/>
        </w:rPr>
        <w:t>the</w:t>
      </w:r>
      <w:r w:rsidR="00881300">
        <w:rPr>
          <w:rFonts w:cs="Arial"/>
          <w:szCs w:val="24"/>
        </w:rPr>
        <w:t xml:space="preserve"> All Nations Fellowship in Abington Square, </w:t>
      </w:r>
      <w:proofErr w:type="spellStart"/>
      <w:r w:rsidR="00881300">
        <w:rPr>
          <w:rFonts w:cs="Arial"/>
          <w:szCs w:val="24"/>
        </w:rPr>
        <w:t>Queen</w:t>
      </w:r>
      <w:r w:rsidR="002C2ECD">
        <w:rPr>
          <w:rFonts w:cs="Arial"/>
          <w:szCs w:val="24"/>
        </w:rPr>
        <w:t>sg</w:t>
      </w:r>
      <w:r w:rsidR="00881300">
        <w:rPr>
          <w:rFonts w:cs="Arial"/>
          <w:szCs w:val="24"/>
        </w:rPr>
        <w:t>rove</w:t>
      </w:r>
      <w:proofErr w:type="spellEnd"/>
      <w:r w:rsidR="00881300">
        <w:rPr>
          <w:rFonts w:cs="Arial"/>
          <w:szCs w:val="24"/>
        </w:rPr>
        <w:t xml:space="preserve"> Methodist Church, </w:t>
      </w:r>
      <w:r w:rsidR="00CF711D">
        <w:rPr>
          <w:rFonts w:cs="Arial"/>
          <w:szCs w:val="24"/>
        </w:rPr>
        <w:t>Victoria Road Congregational</w:t>
      </w:r>
      <w:r>
        <w:rPr>
          <w:rFonts w:cs="Arial"/>
          <w:szCs w:val="24"/>
        </w:rPr>
        <w:t xml:space="preserve"> Church</w:t>
      </w:r>
      <w:r w:rsidR="002C2ECD">
        <w:rPr>
          <w:rFonts w:cs="Arial"/>
          <w:szCs w:val="24"/>
        </w:rPr>
        <w:t>, the Jesus Army centre</w:t>
      </w:r>
      <w:r>
        <w:rPr>
          <w:rFonts w:cs="Arial"/>
          <w:szCs w:val="24"/>
        </w:rPr>
        <w:t xml:space="preserve"> and the</w:t>
      </w:r>
      <w:r w:rsidR="00CF711D">
        <w:rPr>
          <w:rFonts w:cs="Arial"/>
          <w:szCs w:val="24"/>
        </w:rPr>
        <w:t xml:space="preserve"> </w:t>
      </w:r>
      <w:r w:rsidR="00881300">
        <w:rPr>
          <w:rFonts w:cs="Arial"/>
          <w:szCs w:val="24"/>
        </w:rPr>
        <w:t xml:space="preserve">New Testament Church of God. Other faith worship facilities include </w:t>
      </w:r>
      <w:r w:rsidR="007D3E1C">
        <w:rPr>
          <w:rFonts w:cs="Arial"/>
          <w:szCs w:val="24"/>
        </w:rPr>
        <w:t xml:space="preserve">Northampton’s Synagogue in </w:t>
      </w:r>
      <w:proofErr w:type="spellStart"/>
      <w:r w:rsidR="007D3E1C">
        <w:rPr>
          <w:rFonts w:cs="Arial"/>
          <w:szCs w:val="24"/>
        </w:rPr>
        <w:t>Overstone</w:t>
      </w:r>
      <w:proofErr w:type="spellEnd"/>
      <w:r w:rsidR="007D3E1C">
        <w:rPr>
          <w:rFonts w:cs="Arial"/>
          <w:szCs w:val="24"/>
        </w:rPr>
        <w:t xml:space="preserve"> Road.</w:t>
      </w:r>
      <w:r w:rsidR="00EC5349">
        <w:rPr>
          <w:rFonts w:cs="Arial"/>
          <w:szCs w:val="24"/>
        </w:rPr>
        <w:t xml:space="preserve"> </w:t>
      </w:r>
    </w:p>
    <w:p w:rsidR="00EC5349" w:rsidRDefault="00EC5349" w:rsidP="00F63069">
      <w:pPr>
        <w:pStyle w:val="NoSpacing"/>
        <w:rPr>
          <w:rFonts w:cs="Arial"/>
          <w:szCs w:val="24"/>
        </w:rPr>
      </w:pPr>
    </w:p>
    <w:p w:rsidR="007A54EC" w:rsidRDefault="008875AC" w:rsidP="00F63069">
      <w:pPr>
        <w:pStyle w:val="NoSpacing"/>
        <w:rPr>
          <w:rFonts w:cs="Arial"/>
          <w:szCs w:val="24"/>
        </w:rPr>
      </w:pPr>
      <w:proofErr w:type="spellStart"/>
      <w:r>
        <w:rPr>
          <w:rFonts w:cs="Arial"/>
          <w:szCs w:val="24"/>
        </w:rPr>
        <w:t>Stimpson</w:t>
      </w:r>
      <w:proofErr w:type="spellEnd"/>
      <w:r>
        <w:rPr>
          <w:rFonts w:cs="Arial"/>
          <w:szCs w:val="24"/>
        </w:rPr>
        <w:t xml:space="preserve"> Avenue, Vernon Terrace, </w:t>
      </w:r>
      <w:r w:rsidR="002C2ECD">
        <w:rPr>
          <w:rFonts w:cs="Arial"/>
          <w:szCs w:val="24"/>
        </w:rPr>
        <w:t xml:space="preserve">Castle </w:t>
      </w:r>
      <w:r w:rsidR="003E40D3">
        <w:rPr>
          <w:rFonts w:cs="Arial"/>
          <w:szCs w:val="24"/>
        </w:rPr>
        <w:t xml:space="preserve">and </w:t>
      </w:r>
      <w:r w:rsidR="004B41A0">
        <w:rPr>
          <w:rFonts w:cs="Arial"/>
          <w:szCs w:val="24"/>
        </w:rPr>
        <w:t xml:space="preserve">Barry </w:t>
      </w:r>
      <w:r w:rsidR="003E40D3">
        <w:rPr>
          <w:rFonts w:cs="Arial"/>
          <w:szCs w:val="24"/>
        </w:rPr>
        <w:t xml:space="preserve">Road are the main primary schools serving the area.  There is also a Sure Start Children’s Centre at Vernon Terrace School  The next nearest is </w:t>
      </w:r>
      <w:r w:rsidR="00792575">
        <w:rPr>
          <w:rFonts w:cs="Arial"/>
          <w:szCs w:val="24"/>
        </w:rPr>
        <w:t>Spring Lane</w:t>
      </w:r>
      <w:r w:rsidR="003E40D3">
        <w:rPr>
          <w:rFonts w:cs="Arial"/>
          <w:szCs w:val="24"/>
        </w:rPr>
        <w:t xml:space="preserve"> in the Spring Boroughs neighbourhood, not </w:t>
      </w:r>
      <w:r w:rsidR="00792575">
        <w:rPr>
          <w:rFonts w:cs="Arial"/>
          <w:szCs w:val="24"/>
        </w:rPr>
        <w:t xml:space="preserve">easily accessible </w:t>
      </w:r>
      <w:r w:rsidR="003E40D3">
        <w:rPr>
          <w:rFonts w:cs="Arial"/>
          <w:szCs w:val="24"/>
        </w:rPr>
        <w:t xml:space="preserve">without a vehicle </w:t>
      </w:r>
      <w:r w:rsidR="00792575">
        <w:rPr>
          <w:rFonts w:cs="Arial"/>
          <w:szCs w:val="24"/>
        </w:rPr>
        <w:t>for much of the area.</w:t>
      </w:r>
    </w:p>
    <w:p w:rsidR="007A54EC" w:rsidRDefault="007A54EC" w:rsidP="00F63069">
      <w:pPr>
        <w:pStyle w:val="NoSpacing"/>
        <w:rPr>
          <w:rFonts w:cs="Arial"/>
          <w:szCs w:val="24"/>
        </w:rPr>
      </w:pPr>
    </w:p>
    <w:p w:rsidR="002C2ECD" w:rsidRPr="002C2ECD" w:rsidRDefault="008875AC" w:rsidP="002C2ECD">
      <w:pPr>
        <w:pStyle w:val="NoSpacing"/>
        <w:rPr>
          <w:rFonts w:cs="Arial"/>
          <w:szCs w:val="24"/>
        </w:rPr>
      </w:pPr>
      <w:r>
        <w:rPr>
          <w:rFonts w:cs="Arial"/>
          <w:szCs w:val="24"/>
        </w:rPr>
        <w:t>Vernon Terrace</w:t>
      </w:r>
      <w:r w:rsidR="003E40D3">
        <w:rPr>
          <w:rFonts w:cs="Arial"/>
          <w:szCs w:val="24"/>
        </w:rPr>
        <w:t xml:space="preserve"> also serves as a Community centre for the area and there is bookable space for community activities at the Open Door Centre run by the Baptist Church.</w:t>
      </w:r>
      <w:r>
        <w:rPr>
          <w:rFonts w:cs="Arial"/>
          <w:szCs w:val="24"/>
        </w:rPr>
        <w:t xml:space="preserve"> </w:t>
      </w:r>
      <w:r w:rsidR="002C2ECD">
        <w:rPr>
          <w:rFonts w:cs="Arial"/>
          <w:szCs w:val="24"/>
        </w:rPr>
        <w:t>Northampton</w:t>
      </w:r>
      <w:r w:rsidR="002C2ECD" w:rsidRPr="002C2ECD">
        <w:rPr>
          <w:rFonts w:cs="Arial"/>
          <w:szCs w:val="24"/>
        </w:rPr>
        <w:t xml:space="preserve"> Volunteer Centre, Age Concern (Ventnor Centre), Th</w:t>
      </w:r>
      <w:r w:rsidR="002C2ECD">
        <w:rPr>
          <w:rFonts w:cs="Arial"/>
          <w:szCs w:val="24"/>
        </w:rPr>
        <w:t>e Hope Centre and Northampton</w:t>
      </w:r>
      <w:r w:rsidR="002C2ECD" w:rsidRPr="002C2ECD">
        <w:rPr>
          <w:rFonts w:cs="Arial"/>
          <w:szCs w:val="24"/>
        </w:rPr>
        <w:t xml:space="preserve"> CVS </w:t>
      </w:r>
      <w:r w:rsidR="002C2ECD">
        <w:rPr>
          <w:rFonts w:cs="Arial"/>
          <w:szCs w:val="24"/>
        </w:rPr>
        <w:t>all have their offices in the town centre part of the Ward, though serve a town and sometimes county wide catchment</w:t>
      </w:r>
      <w:r w:rsidR="001F4175">
        <w:rPr>
          <w:rFonts w:cs="Arial"/>
          <w:szCs w:val="24"/>
        </w:rPr>
        <w:t xml:space="preserve"> </w:t>
      </w:r>
      <w:r w:rsidR="002C2ECD">
        <w:rPr>
          <w:rFonts w:cs="Arial"/>
          <w:szCs w:val="24"/>
        </w:rPr>
        <w:t>area</w:t>
      </w:r>
      <w:r w:rsidR="001F4175">
        <w:rPr>
          <w:rFonts w:cs="Arial"/>
          <w:szCs w:val="24"/>
        </w:rPr>
        <w:t>s</w:t>
      </w:r>
      <w:r w:rsidR="002C2ECD">
        <w:rPr>
          <w:rFonts w:cs="Arial"/>
          <w:szCs w:val="24"/>
        </w:rPr>
        <w:t xml:space="preserve">. </w:t>
      </w:r>
    </w:p>
    <w:p w:rsidR="007A54EC" w:rsidRDefault="007A54EC" w:rsidP="00F63069">
      <w:pPr>
        <w:pStyle w:val="NoSpacing"/>
        <w:rPr>
          <w:rFonts w:cs="Arial"/>
          <w:szCs w:val="24"/>
        </w:rPr>
      </w:pPr>
    </w:p>
    <w:p w:rsidR="00F63069" w:rsidRDefault="003E40D3" w:rsidP="00F63069">
      <w:pPr>
        <w:pStyle w:val="NoSpacing"/>
        <w:rPr>
          <w:rFonts w:cs="Arial"/>
          <w:szCs w:val="24"/>
        </w:rPr>
      </w:pPr>
      <w:r w:rsidRPr="00AB1D1E">
        <w:rPr>
          <w:rFonts w:cs="Arial"/>
          <w:szCs w:val="24"/>
        </w:rPr>
        <w:t xml:space="preserve">At present four Resident Associations are active in the area: </w:t>
      </w:r>
      <w:r w:rsidR="008875AC" w:rsidRPr="00AB1D1E">
        <w:rPr>
          <w:rFonts w:cs="Arial"/>
          <w:szCs w:val="24"/>
        </w:rPr>
        <w:t>Double H</w:t>
      </w:r>
      <w:r w:rsidR="00DD1F48" w:rsidRPr="00AB1D1E">
        <w:rPr>
          <w:rFonts w:cs="Arial"/>
          <w:szCs w:val="24"/>
        </w:rPr>
        <w:t xml:space="preserve"> (serving</w:t>
      </w:r>
      <w:r w:rsidRPr="00AB1D1E">
        <w:rPr>
          <w:rFonts w:cs="Arial"/>
          <w:szCs w:val="24"/>
        </w:rPr>
        <w:t xml:space="preserve"> Hunter</w:t>
      </w:r>
      <w:r w:rsidR="00DD1F48" w:rsidRPr="00AB1D1E">
        <w:rPr>
          <w:rFonts w:cs="Arial"/>
          <w:szCs w:val="24"/>
        </w:rPr>
        <w:t xml:space="preserve"> </w:t>
      </w:r>
      <w:r w:rsidRPr="00AB1D1E">
        <w:rPr>
          <w:rFonts w:cs="Arial"/>
          <w:szCs w:val="24"/>
        </w:rPr>
        <w:t>and Hervey Streets and others running off them)</w:t>
      </w:r>
      <w:r w:rsidR="008875AC" w:rsidRPr="00AB1D1E">
        <w:rPr>
          <w:rFonts w:cs="Arial"/>
          <w:szCs w:val="24"/>
        </w:rPr>
        <w:t xml:space="preserve">, </w:t>
      </w:r>
      <w:proofErr w:type="spellStart"/>
      <w:r w:rsidR="008875AC" w:rsidRPr="00AB1D1E">
        <w:rPr>
          <w:rFonts w:cs="Arial"/>
          <w:szCs w:val="24"/>
        </w:rPr>
        <w:t>Colwyn</w:t>
      </w:r>
      <w:proofErr w:type="spellEnd"/>
      <w:r w:rsidR="008875AC" w:rsidRPr="00AB1D1E">
        <w:rPr>
          <w:rFonts w:cs="Arial"/>
          <w:szCs w:val="24"/>
        </w:rPr>
        <w:t xml:space="preserve"> Road, S</w:t>
      </w:r>
      <w:r w:rsidRPr="00AB1D1E">
        <w:rPr>
          <w:rFonts w:cs="Arial"/>
          <w:szCs w:val="24"/>
        </w:rPr>
        <w:t xml:space="preserve">t. Edmunds and </w:t>
      </w:r>
      <w:r w:rsidR="00EC5349" w:rsidRPr="00AB1D1E">
        <w:rPr>
          <w:rFonts w:cs="Arial"/>
          <w:szCs w:val="24"/>
        </w:rPr>
        <w:t xml:space="preserve">THAW </w:t>
      </w:r>
      <w:r w:rsidR="00881300" w:rsidRPr="00AB1D1E">
        <w:rPr>
          <w:rFonts w:cs="Arial"/>
          <w:szCs w:val="24"/>
        </w:rPr>
        <w:t xml:space="preserve">(serving </w:t>
      </w:r>
      <w:r w:rsidR="00EC5349" w:rsidRPr="00AB1D1E">
        <w:rPr>
          <w:rFonts w:cs="Arial"/>
          <w:szCs w:val="24"/>
        </w:rPr>
        <w:t xml:space="preserve">Talbot, </w:t>
      </w:r>
      <w:r w:rsidR="00881300" w:rsidRPr="00AB1D1E">
        <w:rPr>
          <w:rFonts w:cs="Arial"/>
          <w:szCs w:val="24"/>
        </w:rPr>
        <w:t>H</w:t>
      </w:r>
      <w:r w:rsidR="00EC5349" w:rsidRPr="00AB1D1E">
        <w:rPr>
          <w:rFonts w:cs="Arial"/>
          <w:szCs w:val="24"/>
        </w:rPr>
        <w:t>enry</w:t>
      </w:r>
      <w:r w:rsidR="00881300" w:rsidRPr="00AB1D1E">
        <w:rPr>
          <w:rFonts w:cs="Arial"/>
          <w:szCs w:val="24"/>
        </w:rPr>
        <w:t>,</w:t>
      </w:r>
      <w:r w:rsidR="00EC5349" w:rsidRPr="00AB1D1E">
        <w:rPr>
          <w:rFonts w:cs="Arial"/>
          <w:szCs w:val="24"/>
        </w:rPr>
        <w:t xml:space="preserve"> </w:t>
      </w:r>
      <w:r w:rsidR="00881300" w:rsidRPr="00AB1D1E">
        <w:rPr>
          <w:rFonts w:cs="Arial"/>
          <w:szCs w:val="24"/>
        </w:rPr>
        <w:t>A</w:t>
      </w:r>
      <w:r w:rsidR="00EC5349" w:rsidRPr="00AB1D1E">
        <w:rPr>
          <w:rFonts w:cs="Arial"/>
          <w:szCs w:val="24"/>
        </w:rPr>
        <w:t xml:space="preserve">rtisan and </w:t>
      </w:r>
      <w:r w:rsidR="00881300" w:rsidRPr="00AB1D1E">
        <w:rPr>
          <w:rFonts w:cs="Arial"/>
          <w:szCs w:val="24"/>
        </w:rPr>
        <w:t>W</w:t>
      </w:r>
      <w:r w:rsidR="00EC5349" w:rsidRPr="00AB1D1E">
        <w:rPr>
          <w:rFonts w:cs="Arial"/>
          <w:szCs w:val="24"/>
        </w:rPr>
        <w:t>hitworth</w:t>
      </w:r>
      <w:r w:rsidR="00AB1D1E" w:rsidRPr="00AB1D1E">
        <w:rPr>
          <w:rFonts w:cs="Arial"/>
          <w:szCs w:val="24"/>
        </w:rPr>
        <w:t xml:space="preserve"> Roads.</w:t>
      </w:r>
    </w:p>
    <w:p w:rsidR="002C2ECD" w:rsidRDefault="002C2ECD" w:rsidP="00F63069">
      <w:pPr>
        <w:pStyle w:val="NoSpacing"/>
        <w:rPr>
          <w:rFonts w:cs="Arial"/>
          <w:szCs w:val="24"/>
        </w:rPr>
      </w:pPr>
    </w:p>
    <w:p w:rsidR="001F4175" w:rsidRDefault="001F4175">
      <w:pPr>
        <w:rPr>
          <w:rFonts w:cs="Arial"/>
          <w:b/>
          <w:i/>
          <w:szCs w:val="24"/>
        </w:rPr>
      </w:pPr>
      <w:r>
        <w:rPr>
          <w:rFonts w:cs="Arial"/>
          <w:b/>
          <w:i/>
          <w:szCs w:val="24"/>
        </w:rPr>
        <w:br w:type="page"/>
      </w:r>
    </w:p>
    <w:p w:rsidR="00F63069" w:rsidRPr="00B22241" w:rsidRDefault="00F63069" w:rsidP="00F63069">
      <w:pPr>
        <w:pStyle w:val="NoSpacing"/>
        <w:rPr>
          <w:rFonts w:cs="Arial"/>
          <w:b/>
          <w:i/>
          <w:szCs w:val="24"/>
        </w:rPr>
      </w:pPr>
      <w:r w:rsidRPr="001C5C3B">
        <w:rPr>
          <w:rFonts w:cs="Arial"/>
          <w:b/>
          <w:i/>
          <w:szCs w:val="24"/>
        </w:rPr>
        <w:lastRenderedPageBreak/>
        <w:t>Population</w:t>
      </w:r>
    </w:p>
    <w:p w:rsidR="00F63069" w:rsidRPr="00B22241" w:rsidRDefault="00F63069" w:rsidP="00F63069">
      <w:pPr>
        <w:pStyle w:val="NoSpacing"/>
        <w:rPr>
          <w:rFonts w:cs="Arial"/>
          <w:szCs w:val="24"/>
        </w:rPr>
      </w:pPr>
    </w:p>
    <w:p w:rsidR="00F63069" w:rsidRDefault="00F63069" w:rsidP="00F63069">
      <w:pPr>
        <w:pStyle w:val="NoSpacing"/>
        <w:rPr>
          <w:rFonts w:cs="Arial"/>
          <w:szCs w:val="24"/>
        </w:rPr>
      </w:pPr>
      <w:r>
        <w:rPr>
          <w:rFonts w:cs="Arial"/>
          <w:szCs w:val="24"/>
        </w:rPr>
        <w:t xml:space="preserve">The total population of the former electoral Ward was </w:t>
      </w:r>
      <w:r w:rsidR="001C5C3B">
        <w:rPr>
          <w:rFonts w:cs="Arial"/>
          <w:szCs w:val="24"/>
        </w:rPr>
        <w:t>10,406</w:t>
      </w:r>
      <w:r>
        <w:rPr>
          <w:rFonts w:cs="Arial"/>
          <w:szCs w:val="24"/>
        </w:rPr>
        <w:t xml:space="preserve"> people in June 2010</w:t>
      </w:r>
      <w:r w:rsidR="007A54EC">
        <w:rPr>
          <w:rFonts w:cs="Arial"/>
          <w:szCs w:val="24"/>
        </w:rPr>
        <w:t xml:space="preserve">, living in a total of </w:t>
      </w:r>
      <w:r w:rsidR="004C3966">
        <w:rPr>
          <w:rFonts w:cs="Arial"/>
          <w:szCs w:val="24"/>
        </w:rPr>
        <w:t>4086</w:t>
      </w:r>
      <w:r w:rsidR="007A54EC">
        <w:rPr>
          <w:rFonts w:cs="Arial"/>
          <w:szCs w:val="24"/>
        </w:rPr>
        <w:t xml:space="preserve"> households</w:t>
      </w:r>
      <w:r w:rsidR="004C3966">
        <w:rPr>
          <w:rFonts w:cs="Arial"/>
          <w:szCs w:val="24"/>
        </w:rPr>
        <w:t xml:space="preserve"> (Census 2001)</w:t>
      </w:r>
      <w:r>
        <w:rPr>
          <w:rFonts w:cs="Arial"/>
          <w:szCs w:val="24"/>
        </w:rPr>
        <w:t xml:space="preserve">. </w:t>
      </w:r>
    </w:p>
    <w:p w:rsidR="00F63069" w:rsidRDefault="00F63069" w:rsidP="00F63069">
      <w:pPr>
        <w:pStyle w:val="NoSpacing"/>
        <w:rPr>
          <w:rFonts w:cs="Arial"/>
          <w:szCs w:val="24"/>
        </w:rPr>
      </w:pPr>
    </w:p>
    <w:p w:rsidR="00F63069" w:rsidRDefault="00F63069" w:rsidP="00F63069">
      <w:pPr>
        <w:pStyle w:val="NoSpacing"/>
        <w:rPr>
          <w:rFonts w:cs="Arial"/>
          <w:szCs w:val="24"/>
        </w:rPr>
      </w:pPr>
      <w:r w:rsidRPr="00897956">
        <w:rPr>
          <w:rFonts w:cs="Arial"/>
          <w:szCs w:val="24"/>
        </w:rPr>
        <w:t xml:space="preserve">The </w:t>
      </w:r>
      <w:r>
        <w:rPr>
          <w:rFonts w:cs="Arial"/>
          <w:szCs w:val="24"/>
        </w:rPr>
        <w:t>pr</w:t>
      </w:r>
      <w:r w:rsidRPr="00897956">
        <w:rPr>
          <w:rFonts w:cs="Arial"/>
          <w:szCs w:val="24"/>
        </w:rPr>
        <w:t>incipal source of population prof</w:t>
      </w:r>
      <w:r>
        <w:rPr>
          <w:rFonts w:cs="Arial"/>
          <w:szCs w:val="24"/>
        </w:rPr>
        <w:t>iling data is, of course, the 2</w:t>
      </w:r>
      <w:r w:rsidRPr="00897956">
        <w:rPr>
          <w:rFonts w:cs="Arial"/>
          <w:szCs w:val="24"/>
        </w:rPr>
        <w:t>011 Census.</w:t>
      </w:r>
      <w:r>
        <w:rPr>
          <w:rFonts w:cs="Arial"/>
          <w:szCs w:val="24"/>
        </w:rPr>
        <w:t xml:space="preserve"> However, Census data is no longer collated or published by electoral ward, but by Lower layer Super Output Areas (LSOAs). The </w:t>
      </w:r>
      <w:r w:rsidR="007A54EC">
        <w:rPr>
          <w:rFonts w:cs="Arial"/>
          <w:szCs w:val="24"/>
        </w:rPr>
        <w:t>Community First</w:t>
      </w:r>
      <w:r>
        <w:rPr>
          <w:rFonts w:cs="Arial"/>
          <w:szCs w:val="24"/>
        </w:rPr>
        <w:t xml:space="preserve"> area </w:t>
      </w:r>
      <w:r w:rsidR="0099793C">
        <w:rPr>
          <w:rFonts w:cs="Arial"/>
          <w:szCs w:val="24"/>
        </w:rPr>
        <w:t>consists of</w:t>
      </w:r>
      <w:r>
        <w:rPr>
          <w:rFonts w:cs="Arial"/>
          <w:szCs w:val="24"/>
        </w:rPr>
        <w:t xml:space="preserve"> </w:t>
      </w:r>
      <w:r w:rsidR="0099793C">
        <w:rPr>
          <w:rFonts w:cs="Arial"/>
          <w:szCs w:val="24"/>
        </w:rPr>
        <w:t>6</w:t>
      </w:r>
      <w:r>
        <w:rPr>
          <w:rFonts w:cs="Arial"/>
          <w:szCs w:val="24"/>
        </w:rPr>
        <w:t xml:space="preserve"> </w:t>
      </w:r>
      <w:r w:rsidR="007A54EC">
        <w:rPr>
          <w:rFonts w:cs="Arial"/>
          <w:szCs w:val="24"/>
        </w:rPr>
        <w:t>L</w:t>
      </w:r>
      <w:r>
        <w:rPr>
          <w:rFonts w:cs="Arial"/>
          <w:szCs w:val="24"/>
        </w:rPr>
        <w:t>SOAs.</w:t>
      </w:r>
    </w:p>
    <w:p w:rsidR="00F63069" w:rsidRDefault="00F63069" w:rsidP="00F63069">
      <w:pPr>
        <w:pStyle w:val="NoSpacing"/>
        <w:rPr>
          <w:rFonts w:cs="Arial"/>
          <w:szCs w:val="24"/>
        </w:rPr>
      </w:pPr>
    </w:p>
    <w:p w:rsidR="00F63069" w:rsidRDefault="0099793C" w:rsidP="0099793C">
      <w:pPr>
        <w:pStyle w:val="NoSpacing"/>
        <w:numPr>
          <w:ilvl w:val="0"/>
          <w:numId w:val="9"/>
        </w:numPr>
        <w:rPr>
          <w:rFonts w:cs="Arial"/>
          <w:szCs w:val="24"/>
        </w:rPr>
      </w:pPr>
      <w:r>
        <w:rPr>
          <w:rFonts w:cs="Arial"/>
          <w:szCs w:val="24"/>
        </w:rPr>
        <w:t xml:space="preserve">LSOA 023B covers the area west of Kettering Road and north of Clare Street but </w:t>
      </w:r>
      <w:r w:rsidRPr="0099793C">
        <w:rPr>
          <w:rFonts w:cs="Arial"/>
          <w:i/>
          <w:szCs w:val="24"/>
        </w:rPr>
        <w:t>not</w:t>
      </w:r>
      <w:r>
        <w:rPr>
          <w:rFonts w:cs="Arial"/>
          <w:szCs w:val="24"/>
        </w:rPr>
        <w:t xml:space="preserve"> Hervey Street</w:t>
      </w:r>
    </w:p>
    <w:p w:rsidR="0099793C" w:rsidRDefault="0099793C" w:rsidP="0099793C">
      <w:pPr>
        <w:pStyle w:val="NoSpacing"/>
        <w:numPr>
          <w:ilvl w:val="0"/>
          <w:numId w:val="9"/>
        </w:numPr>
        <w:rPr>
          <w:rFonts w:cs="Arial"/>
          <w:szCs w:val="24"/>
        </w:rPr>
      </w:pPr>
      <w:r>
        <w:rPr>
          <w:rFonts w:cs="Arial"/>
          <w:szCs w:val="24"/>
        </w:rPr>
        <w:t xml:space="preserve">LSOA 023C covers the area west of Kettering Road and south of Clare Street </w:t>
      </w:r>
      <w:r w:rsidRPr="0099793C">
        <w:rPr>
          <w:rFonts w:cs="Arial"/>
          <w:i/>
          <w:szCs w:val="24"/>
        </w:rPr>
        <w:t>and</w:t>
      </w:r>
      <w:r>
        <w:rPr>
          <w:rFonts w:cs="Arial"/>
          <w:szCs w:val="24"/>
        </w:rPr>
        <w:t xml:space="preserve"> Hervey Street but </w:t>
      </w:r>
      <w:r w:rsidRPr="0099793C">
        <w:rPr>
          <w:rFonts w:cs="Arial"/>
          <w:i/>
          <w:szCs w:val="24"/>
        </w:rPr>
        <w:t>not</w:t>
      </w:r>
      <w:r>
        <w:rPr>
          <w:rFonts w:cs="Arial"/>
          <w:szCs w:val="24"/>
        </w:rPr>
        <w:t xml:space="preserve"> St. Michael’s Road</w:t>
      </w:r>
    </w:p>
    <w:p w:rsidR="0099793C" w:rsidRDefault="0099793C" w:rsidP="0099793C">
      <w:pPr>
        <w:pStyle w:val="NoSpacing"/>
        <w:numPr>
          <w:ilvl w:val="0"/>
          <w:numId w:val="9"/>
        </w:numPr>
        <w:rPr>
          <w:rFonts w:cs="Arial"/>
          <w:szCs w:val="24"/>
        </w:rPr>
      </w:pPr>
      <w:r>
        <w:rPr>
          <w:rFonts w:cs="Arial"/>
          <w:szCs w:val="24"/>
        </w:rPr>
        <w:t>LSOA 025C covers all houses to the east of Kettering Road including the PEMBA estate</w:t>
      </w:r>
    </w:p>
    <w:p w:rsidR="0099793C" w:rsidRDefault="0099793C" w:rsidP="0099793C">
      <w:pPr>
        <w:pStyle w:val="NoSpacing"/>
        <w:numPr>
          <w:ilvl w:val="0"/>
          <w:numId w:val="9"/>
        </w:numPr>
        <w:rPr>
          <w:rFonts w:cs="Arial"/>
          <w:szCs w:val="24"/>
        </w:rPr>
      </w:pPr>
      <w:r>
        <w:rPr>
          <w:rFonts w:cs="Arial"/>
          <w:szCs w:val="24"/>
        </w:rPr>
        <w:t>LSOA 023D covers all streets off St. Edmund’s Road and St. Michael’s Road</w:t>
      </w:r>
    </w:p>
    <w:p w:rsidR="0099793C" w:rsidRDefault="0099793C" w:rsidP="0099793C">
      <w:pPr>
        <w:pStyle w:val="NoSpacing"/>
        <w:numPr>
          <w:ilvl w:val="0"/>
          <w:numId w:val="9"/>
        </w:numPr>
        <w:rPr>
          <w:rFonts w:cs="Arial"/>
          <w:szCs w:val="24"/>
        </w:rPr>
      </w:pPr>
      <w:r>
        <w:rPr>
          <w:rFonts w:cs="Arial"/>
          <w:szCs w:val="24"/>
        </w:rPr>
        <w:t>LSOA 025B covers the area bounded by St. Edmund’s/Alfred Streets, Billing Road, the cemetery and Wellingborough Road</w:t>
      </w:r>
    </w:p>
    <w:p w:rsidR="0099793C" w:rsidRDefault="0099793C" w:rsidP="0099793C">
      <w:pPr>
        <w:pStyle w:val="NoSpacing"/>
        <w:numPr>
          <w:ilvl w:val="0"/>
          <w:numId w:val="9"/>
        </w:numPr>
        <w:rPr>
          <w:rFonts w:cs="Arial"/>
          <w:szCs w:val="24"/>
        </w:rPr>
      </w:pPr>
      <w:r>
        <w:rPr>
          <w:rFonts w:cs="Arial"/>
          <w:szCs w:val="24"/>
        </w:rPr>
        <w:t xml:space="preserve">LSOA 025A covers the town centre “wedge” </w:t>
      </w:r>
      <w:proofErr w:type="gramStart"/>
      <w:r w:rsidRPr="0099793C">
        <w:rPr>
          <w:rFonts w:cs="Arial"/>
          <w:i/>
          <w:szCs w:val="24"/>
        </w:rPr>
        <w:t>and</w:t>
      </w:r>
      <w:r>
        <w:rPr>
          <w:rFonts w:cs="Arial"/>
          <w:szCs w:val="24"/>
        </w:rPr>
        <w:t xml:space="preserve">  the</w:t>
      </w:r>
      <w:proofErr w:type="gramEnd"/>
      <w:r>
        <w:rPr>
          <w:rFonts w:cs="Arial"/>
          <w:szCs w:val="24"/>
        </w:rPr>
        <w:t xml:space="preserve"> streets o</w:t>
      </w:r>
      <w:r w:rsidR="0088092D">
        <w:rPr>
          <w:rFonts w:cs="Arial"/>
          <w:szCs w:val="24"/>
        </w:rPr>
        <w:t>f</w:t>
      </w:r>
      <w:r>
        <w:rPr>
          <w:rFonts w:cs="Arial"/>
          <w:szCs w:val="24"/>
        </w:rPr>
        <w:t xml:space="preserve">f </w:t>
      </w:r>
      <w:proofErr w:type="spellStart"/>
      <w:r>
        <w:rPr>
          <w:rFonts w:cs="Arial"/>
          <w:szCs w:val="24"/>
        </w:rPr>
        <w:t>Cliftonville</w:t>
      </w:r>
      <w:proofErr w:type="spellEnd"/>
      <w:r>
        <w:rPr>
          <w:rFonts w:cs="Arial"/>
          <w:szCs w:val="24"/>
        </w:rPr>
        <w:t xml:space="preserve"> Road</w:t>
      </w:r>
      <w:r w:rsidR="00BC6412">
        <w:rPr>
          <w:rFonts w:cs="Arial"/>
          <w:szCs w:val="24"/>
        </w:rPr>
        <w:t xml:space="preserve">.  However, it has been </w:t>
      </w:r>
      <w:r w:rsidR="001E570B" w:rsidRPr="001E570B">
        <w:rPr>
          <w:rFonts w:cs="Arial"/>
          <w:b/>
          <w:i/>
          <w:szCs w:val="24"/>
        </w:rPr>
        <w:t>excluded</w:t>
      </w:r>
      <w:r w:rsidR="00BC6412">
        <w:rPr>
          <w:rFonts w:cs="Arial"/>
          <w:szCs w:val="24"/>
        </w:rPr>
        <w:t xml:space="preserve"> from this analysis as </w:t>
      </w:r>
      <w:r w:rsidR="001E570B">
        <w:rPr>
          <w:rFonts w:cs="Arial"/>
          <w:szCs w:val="24"/>
        </w:rPr>
        <w:t>it also includes Cotton End, outside St. Crispin’s, where the m</w:t>
      </w:r>
      <w:r w:rsidR="00BC6412">
        <w:rPr>
          <w:rFonts w:cs="Arial"/>
          <w:szCs w:val="24"/>
        </w:rPr>
        <w:t xml:space="preserve">ajority of its resident population lives </w:t>
      </w:r>
    </w:p>
    <w:p w:rsidR="0099793C" w:rsidRPr="00897956" w:rsidRDefault="0099793C" w:rsidP="00F63069">
      <w:pPr>
        <w:pStyle w:val="NoSpacing"/>
        <w:rPr>
          <w:rFonts w:cs="Arial"/>
          <w:szCs w:val="24"/>
        </w:rPr>
      </w:pPr>
    </w:p>
    <w:p w:rsidR="00F63069" w:rsidRDefault="00F63069" w:rsidP="00F63069">
      <w:pPr>
        <w:pStyle w:val="NoSpacing"/>
        <w:rPr>
          <w:rFonts w:cs="Arial"/>
          <w:szCs w:val="24"/>
        </w:rPr>
      </w:pPr>
      <w:r>
        <w:rPr>
          <w:rFonts w:cs="Arial"/>
          <w:szCs w:val="24"/>
        </w:rPr>
        <w:t xml:space="preserve">The following table shows the Census information for </w:t>
      </w:r>
      <w:r w:rsidR="001E570B">
        <w:rPr>
          <w:rFonts w:cs="Arial"/>
          <w:szCs w:val="24"/>
        </w:rPr>
        <w:t xml:space="preserve">total population, </w:t>
      </w:r>
      <w:r>
        <w:rPr>
          <w:rFonts w:cs="Arial"/>
          <w:szCs w:val="24"/>
        </w:rPr>
        <w:t>gender, disability, age, ethnicity and language from these SOAs. All numbers</w:t>
      </w:r>
      <w:r w:rsidR="006320F1">
        <w:rPr>
          <w:rFonts w:cs="Arial"/>
          <w:szCs w:val="24"/>
        </w:rPr>
        <w:t>, other than the population totals,</w:t>
      </w:r>
      <w:r>
        <w:rPr>
          <w:rFonts w:cs="Arial"/>
          <w:szCs w:val="24"/>
        </w:rPr>
        <w:t xml:space="preserve"> are percentages. Numbers will not add up to 100% due to rounding; within the languages data, only information about selected </w:t>
      </w:r>
      <w:r w:rsidR="00FD1984">
        <w:rPr>
          <w:rFonts w:cs="Arial"/>
          <w:szCs w:val="24"/>
        </w:rPr>
        <w:t>main</w:t>
      </w:r>
      <w:r>
        <w:rPr>
          <w:rFonts w:cs="Arial"/>
          <w:szCs w:val="24"/>
        </w:rPr>
        <w:t xml:space="preserve"> language is given.</w:t>
      </w:r>
    </w:p>
    <w:p w:rsidR="00F63069" w:rsidRDefault="00F63069" w:rsidP="00F63069">
      <w:pPr>
        <w:pStyle w:val="NoSpacing"/>
        <w:rPr>
          <w:rFonts w:cs="Arial"/>
          <w:szCs w:val="24"/>
        </w:rPr>
      </w:pPr>
    </w:p>
    <w:tbl>
      <w:tblPr>
        <w:tblStyle w:val="TableGrid"/>
        <w:tblW w:w="14174" w:type="dxa"/>
        <w:tblLook w:val="04A0"/>
      </w:tblPr>
      <w:tblGrid>
        <w:gridCol w:w="2945"/>
        <w:gridCol w:w="1753"/>
        <w:gridCol w:w="1823"/>
        <w:gridCol w:w="1951"/>
        <w:gridCol w:w="2126"/>
        <w:gridCol w:w="1853"/>
        <w:gridCol w:w="1723"/>
      </w:tblGrid>
      <w:tr w:rsidR="001E570B" w:rsidTr="006320F1">
        <w:tc>
          <w:tcPr>
            <w:tcW w:w="2945" w:type="dxa"/>
          </w:tcPr>
          <w:p w:rsidR="001E570B" w:rsidRDefault="001E570B" w:rsidP="00233D1E">
            <w:pPr>
              <w:pStyle w:val="NoSpacing"/>
              <w:jc w:val="center"/>
              <w:rPr>
                <w:rFonts w:cs="Arial"/>
                <w:szCs w:val="24"/>
              </w:rPr>
            </w:pPr>
          </w:p>
        </w:tc>
        <w:tc>
          <w:tcPr>
            <w:tcW w:w="1753" w:type="dxa"/>
          </w:tcPr>
          <w:p w:rsidR="001E570B" w:rsidRPr="000C025D" w:rsidRDefault="001E570B" w:rsidP="001E570B">
            <w:pPr>
              <w:pStyle w:val="NoSpacing"/>
              <w:jc w:val="center"/>
              <w:rPr>
                <w:rFonts w:cs="Arial"/>
                <w:b/>
                <w:szCs w:val="24"/>
              </w:rPr>
            </w:pPr>
            <w:r>
              <w:rPr>
                <w:rFonts w:cs="Arial"/>
                <w:b/>
                <w:szCs w:val="24"/>
              </w:rPr>
              <w:t xml:space="preserve">West of </w:t>
            </w:r>
            <w:proofErr w:type="spellStart"/>
            <w:r>
              <w:rPr>
                <w:rFonts w:cs="Arial"/>
                <w:b/>
                <w:szCs w:val="24"/>
              </w:rPr>
              <w:t>Kett</w:t>
            </w:r>
            <w:proofErr w:type="spellEnd"/>
            <w:r>
              <w:rPr>
                <w:rFonts w:cs="Arial"/>
                <w:b/>
                <w:szCs w:val="24"/>
              </w:rPr>
              <w:t xml:space="preserve"> Rd, north of Clare (LSOA 023B)</w:t>
            </w:r>
          </w:p>
        </w:tc>
        <w:tc>
          <w:tcPr>
            <w:tcW w:w="1823" w:type="dxa"/>
          </w:tcPr>
          <w:p w:rsidR="001E570B" w:rsidRDefault="001E570B" w:rsidP="00233D1E">
            <w:pPr>
              <w:pStyle w:val="NoSpacing"/>
              <w:jc w:val="center"/>
              <w:rPr>
                <w:rFonts w:cs="Arial"/>
                <w:b/>
                <w:szCs w:val="24"/>
              </w:rPr>
            </w:pPr>
            <w:r>
              <w:rPr>
                <w:rFonts w:cs="Arial"/>
                <w:b/>
                <w:szCs w:val="24"/>
              </w:rPr>
              <w:t xml:space="preserve">West of </w:t>
            </w:r>
            <w:proofErr w:type="spellStart"/>
            <w:r>
              <w:rPr>
                <w:rFonts w:cs="Arial"/>
                <w:b/>
                <w:szCs w:val="24"/>
              </w:rPr>
              <w:t>Kett</w:t>
            </w:r>
            <w:proofErr w:type="spellEnd"/>
            <w:r>
              <w:rPr>
                <w:rFonts w:cs="Arial"/>
                <w:b/>
                <w:szCs w:val="24"/>
              </w:rPr>
              <w:t xml:space="preserve"> Rd, </w:t>
            </w:r>
            <w:r w:rsidR="002623AA">
              <w:rPr>
                <w:rFonts w:cs="Arial"/>
                <w:b/>
                <w:szCs w:val="24"/>
              </w:rPr>
              <w:t>south</w:t>
            </w:r>
            <w:r>
              <w:rPr>
                <w:rFonts w:cs="Arial"/>
                <w:b/>
                <w:szCs w:val="24"/>
              </w:rPr>
              <w:t xml:space="preserve"> of Clare</w:t>
            </w:r>
          </w:p>
          <w:p w:rsidR="001E570B" w:rsidRPr="000C025D" w:rsidRDefault="001E570B" w:rsidP="001E570B">
            <w:pPr>
              <w:pStyle w:val="NoSpacing"/>
              <w:jc w:val="center"/>
              <w:rPr>
                <w:rFonts w:cs="Arial"/>
                <w:b/>
                <w:szCs w:val="24"/>
              </w:rPr>
            </w:pPr>
            <w:r>
              <w:rPr>
                <w:rFonts w:cs="Arial"/>
                <w:b/>
                <w:szCs w:val="24"/>
              </w:rPr>
              <w:t>(LSOA 023C)</w:t>
            </w:r>
          </w:p>
        </w:tc>
        <w:tc>
          <w:tcPr>
            <w:tcW w:w="1951" w:type="dxa"/>
          </w:tcPr>
          <w:p w:rsidR="001E570B" w:rsidRDefault="001E570B" w:rsidP="00233D1E">
            <w:pPr>
              <w:pStyle w:val="NoSpacing"/>
              <w:jc w:val="center"/>
              <w:rPr>
                <w:rFonts w:cs="Arial"/>
                <w:b/>
                <w:szCs w:val="24"/>
              </w:rPr>
            </w:pPr>
            <w:r>
              <w:rPr>
                <w:rFonts w:cs="Arial"/>
                <w:b/>
                <w:szCs w:val="24"/>
              </w:rPr>
              <w:t xml:space="preserve">East of </w:t>
            </w:r>
            <w:proofErr w:type="spellStart"/>
            <w:r>
              <w:rPr>
                <w:rFonts w:cs="Arial"/>
                <w:b/>
                <w:szCs w:val="24"/>
              </w:rPr>
              <w:t>Kett</w:t>
            </w:r>
            <w:proofErr w:type="spellEnd"/>
            <w:r>
              <w:rPr>
                <w:rFonts w:cs="Arial"/>
                <w:b/>
                <w:szCs w:val="24"/>
              </w:rPr>
              <w:t xml:space="preserve"> Rd and PEMBA</w:t>
            </w:r>
          </w:p>
          <w:p w:rsidR="001E570B" w:rsidRPr="000C025D" w:rsidRDefault="001E570B" w:rsidP="001E570B">
            <w:pPr>
              <w:pStyle w:val="NoSpacing"/>
              <w:jc w:val="center"/>
              <w:rPr>
                <w:rFonts w:cs="Arial"/>
                <w:b/>
                <w:szCs w:val="24"/>
              </w:rPr>
            </w:pPr>
            <w:r>
              <w:rPr>
                <w:rFonts w:cs="Arial"/>
                <w:b/>
                <w:szCs w:val="24"/>
              </w:rPr>
              <w:t>(LSOA 025C)</w:t>
            </w:r>
          </w:p>
        </w:tc>
        <w:tc>
          <w:tcPr>
            <w:tcW w:w="2126" w:type="dxa"/>
          </w:tcPr>
          <w:p w:rsidR="001E570B" w:rsidRDefault="001E570B" w:rsidP="001E570B">
            <w:pPr>
              <w:pStyle w:val="NoSpacing"/>
              <w:jc w:val="center"/>
              <w:rPr>
                <w:rFonts w:cs="Arial"/>
                <w:b/>
                <w:szCs w:val="24"/>
              </w:rPr>
            </w:pPr>
            <w:r>
              <w:rPr>
                <w:rFonts w:cs="Arial"/>
                <w:b/>
                <w:szCs w:val="24"/>
              </w:rPr>
              <w:t>St. Edm</w:t>
            </w:r>
            <w:r w:rsidR="00FD1984">
              <w:rPr>
                <w:rFonts w:cs="Arial"/>
                <w:b/>
                <w:szCs w:val="24"/>
              </w:rPr>
              <w:t>u</w:t>
            </w:r>
            <w:r>
              <w:rPr>
                <w:rFonts w:cs="Arial"/>
                <w:b/>
                <w:szCs w:val="24"/>
              </w:rPr>
              <w:t>nd’s and St. Michael</w:t>
            </w:r>
          </w:p>
          <w:p w:rsidR="001E570B" w:rsidRPr="000C025D" w:rsidRDefault="001E570B" w:rsidP="001E570B">
            <w:pPr>
              <w:pStyle w:val="NoSpacing"/>
              <w:jc w:val="center"/>
              <w:rPr>
                <w:rFonts w:cs="Arial"/>
                <w:b/>
                <w:szCs w:val="24"/>
              </w:rPr>
            </w:pPr>
            <w:r>
              <w:rPr>
                <w:rFonts w:cs="Arial"/>
                <w:b/>
                <w:szCs w:val="24"/>
              </w:rPr>
              <w:t xml:space="preserve">(LSOA </w:t>
            </w:r>
            <w:r w:rsidR="006320F1">
              <w:rPr>
                <w:rFonts w:cs="Arial"/>
                <w:b/>
                <w:szCs w:val="24"/>
              </w:rPr>
              <w:t>023D)</w:t>
            </w:r>
          </w:p>
        </w:tc>
        <w:tc>
          <w:tcPr>
            <w:tcW w:w="1853" w:type="dxa"/>
          </w:tcPr>
          <w:p w:rsidR="001E570B" w:rsidRDefault="006320F1" w:rsidP="00233D1E">
            <w:pPr>
              <w:pStyle w:val="NoSpacing"/>
              <w:jc w:val="center"/>
              <w:rPr>
                <w:rFonts w:cs="Arial"/>
                <w:b/>
                <w:szCs w:val="24"/>
              </w:rPr>
            </w:pPr>
            <w:r>
              <w:rPr>
                <w:rFonts w:cs="Arial"/>
                <w:b/>
                <w:szCs w:val="24"/>
              </w:rPr>
              <w:t xml:space="preserve">Vernon </w:t>
            </w:r>
            <w:proofErr w:type="spellStart"/>
            <w:r>
              <w:rPr>
                <w:rFonts w:cs="Arial"/>
                <w:b/>
                <w:szCs w:val="24"/>
              </w:rPr>
              <w:t>Terr</w:t>
            </w:r>
            <w:proofErr w:type="spellEnd"/>
            <w:r>
              <w:rPr>
                <w:rFonts w:cs="Arial"/>
                <w:b/>
                <w:szCs w:val="24"/>
              </w:rPr>
              <w:t xml:space="preserve"> to cemet</w:t>
            </w:r>
            <w:r w:rsidR="000E0F14">
              <w:rPr>
                <w:rFonts w:cs="Arial"/>
                <w:b/>
                <w:szCs w:val="24"/>
              </w:rPr>
              <w:t>e</w:t>
            </w:r>
            <w:r>
              <w:rPr>
                <w:rFonts w:cs="Arial"/>
                <w:b/>
                <w:szCs w:val="24"/>
              </w:rPr>
              <w:t>ry</w:t>
            </w:r>
          </w:p>
          <w:p w:rsidR="006320F1" w:rsidRPr="000C025D" w:rsidRDefault="006320F1" w:rsidP="00233D1E">
            <w:pPr>
              <w:pStyle w:val="NoSpacing"/>
              <w:jc w:val="center"/>
              <w:rPr>
                <w:rFonts w:cs="Arial"/>
                <w:b/>
                <w:szCs w:val="24"/>
              </w:rPr>
            </w:pPr>
            <w:r>
              <w:rPr>
                <w:rFonts w:cs="Arial"/>
                <w:b/>
                <w:szCs w:val="24"/>
              </w:rPr>
              <w:t>(LSOA 025B)</w:t>
            </w:r>
          </w:p>
        </w:tc>
        <w:tc>
          <w:tcPr>
            <w:tcW w:w="1723" w:type="dxa"/>
          </w:tcPr>
          <w:p w:rsidR="001E570B" w:rsidRPr="000C025D" w:rsidRDefault="001E570B" w:rsidP="00233D1E">
            <w:pPr>
              <w:pStyle w:val="NoSpacing"/>
              <w:jc w:val="center"/>
              <w:rPr>
                <w:rFonts w:cs="Arial"/>
                <w:b/>
                <w:szCs w:val="24"/>
              </w:rPr>
            </w:pPr>
            <w:r w:rsidRPr="000C025D">
              <w:rPr>
                <w:rFonts w:cs="Arial"/>
                <w:b/>
                <w:szCs w:val="24"/>
              </w:rPr>
              <w:t>Northampton</w:t>
            </w:r>
          </w:p>
        </w:tc>
      </w:tr>
      <w:tr w:rsidR="006320F1" w:rsidTr="006320F1">
        <w:tc>
          <w:tcPr>
            <w:tcW w:w="2945" w:type="dxa"/>
          </w:tcPr>
          <w:p w:rsidR="006320F1" w:rsidRDefault="006320F1" w:rsidP="006320F1">
            <w:pPr>
              <w:pStyle w:val="NoSpacing"/>
              <w:rPr>
                <w:rFonts w:cs="Arial"/>
                <w:szCs w:val="24"/>
              </w:rPr>
            </w:pPr>
            <w:r w:rsidRPr="006320F1">
              <w:rPr>
                <w:rFonts w:cs="Arial"/>
                <w:b/>
                <w:i/>
                <w:szCs w:val="24"/>
              </w:rPr>
              <w:t>Total population</w:t>
            </w:r>
          </w:p>
        </w:tc>
        <w:tc>
          <w:tcPr>
            <w:tcW w:w="1753" w:type="dxa"/>
          </w:tcPr>
          <w:p w:rsidR="006320F1" w:rsidRPr="00C47C5B" w:rsidRDefault="00C47C5B" w:rsidP="00C47C5B">
            <w:pPr>
              <w:pStyle w:val="NoSpacing"/>
              <w:jc w:val="center"/>
              <w:rPr>
                <w:rFonts w:cs="Arial"/>
                <w:szCs w:val="24"/>
              </w:rPr>
            </w:pPr>
            <w:r w:rsidRPr="00C47C5B">
              <w:rPr>
                <w:rFonts w:cs="Arial"/>
                <w:szCs w:val="24"/>
              </w:rPr>
              <w:t>1653</w:t>
            </w:r>
          </w:p>
        </w:tc>
        <w:tc>
          <w:tcPr>
            <w:tcW w:w="1823" w:type="dxa"/>
          </w:tcPr>
          <w:p w:rsidR="006320F1" w:rsidRPr="00C47C5B" w:rsidRDefault="00C47C5B" w:rsidP="00C47C5B">
            <w:pPr>
              <w:pStyle w:val="NoSpacing"/>
              <w:jc w:val="center"/>
              <w:rPr>
                <w:rFonts w:cs="Arial"/>
                <w:szCs w:val="24"/>
              </w:rPr>
            </w:pPr>
            <w:r w:rsidRPr="00C47C5B">
              <w:rPr>
                <w:rFonts w:cs="Arial"/>
                <w:szCs w:val="24"/>
              </w:rPr>
              <w:t>1577</w:t>
            </w:r>
          </w:p>
        </w:tc>
        <w:tc>
          <w:tcPr>
            <w:tcW w:w="1951" w:type="dxa"/>
          </w:tcPr>
          <w:p w:rsidR="006320F1" w:rsidRPr="00C47C5B" w:rsidRDefault="00C47C5B" w:rsidP="00C47C5B">
            <w:pPr>
              <w:pStyle w:val="NoSpacing"/>
              <w:jc w:val="center"/>
              <w:rPr>
                <w:rFonts w:cs="Arial"/>
                <w:szCs w:val="24"/>
              </w:rPr>
            </w:pPr>
            <w:r w:rsidRPr="00C47C5B">
              <w:rPr>
                <w:rFonts w:cs="Arial"/>
                <w:szCs w:val="24"/>
              </w:rPr>
              <w:t>1777</w:t>
            </w:r>
          </w:p>
        </w:tc>
        <w:tc>
          <w:tcPr>
            <w:tcW w:w="2126" w:type="dxa"/>
          </w:tcPr>
          <w:p w:rsidR="006320F1" w:rsidRPr="00C47C5B" w:rsidRDefault="00C47C5B" w:rsidP="00C47C5B">
            <w:pPr>
              <w:pStyle w:val="NoSpacing"/>
              <w:jc w:val="center"/>
              <w:rPr>
                <w:rFonts w:cs="Arial"/>
                <w:szCs w:val="24"/>
              </w:rPr>
            </w:pPr>
            <w:r w:rsidRPr="00C47C5B">
              <w:rPr>
                <w:rFonts w:cs="Arial"/>
                <w:szCs w:val="24"/>
              </w:rPr>
              <w:t>1906</w:t>
            </w:r>
          </w:p>
        </w:tc>
        <w:tc>
          <w:tcPr>
            <w:tcW w:w="1853" w:type="dxa"/>
          </w:tcPr>
          <w:p w:rsidR="006320F1" w:rsidRPr="00C47C5B" w:rsidRDefault="00C47C5B" w:rsidP="00C47C5B">
            <w:pPr>
              <w:pStyle w:val="NoSpacing"/>
              <w:jc w:val="center"/>
              <w:rPr>
                <w:rFonts w:cs="Arial"/>
                <w:szCs w:val="24"/>
              </w:rPr>
            </w:pPr>
            <w:r w:rsidRPr="00C47C5B">
              <w:rPr>
                <w:rFonts w:cs="Arial"/>
                <w:szCs w:val="24"/>
              </w:rPr>
              <w:t>1724</w:t>
            </w:r>
          </w:p>
        </w:tc>
        <w:tc>
          <w:tcPr>
            <w:tcW w:w="1723" w:type="dxa"/>
          </w:tcPr>
          <w:p w:rsidR="006320F1" w:rsidRPr="00C47C5B" w:rsidRDefault="00C47C5B" w:rsidP="00C47C5B">
            <w:pPr>
              <w:pStyle w:val="NoSpacing"/>
              <w:jc w:val="center"/>
              <w:rPr>
                <w:rFonts w:cs="Arial"/>
                <w:szCs w:val="24"/>
              </w:rPr>
            </w:pPr>
            <w:r w:rsidRPr="00C47C5B">
              <w:rPr>
                <w:rFonts w:cs="Arial"/>
                <w:szCs w:val="24"/>
              </w:rPr>
              <w:t>212,069</w:t>
            </w:r>
          </w:p>
        </w:tc>
      </w:tr>
      <w:tr w:rsidR="006320F1" w:rsidTr="00233D1E">
        <w:tc>
          <w:tcPr>
            <w:tcW w:w="14174" w:type="dxa"/>
            <w:gridSpan w:val="7"/>
          </w:tcPr>
          <w:p w:rsidR="006320F1" w:rsidRDefault="006320F1" w:rsidP="006320F1">
            <w:pPr>
              <w:pStyle w:val="NoSpacing"/>
              <w:rPr>
                <w:rFonts w:cs="Arial"/>
                <w:b/>
                <w:i/>
                <w:szCs w:val="24"/>
              </w:rPr>
            </w:pPr>
          </w:p>
          <w:p w:rsidR="006320F1" w:rsidRDefault="006320F1" w:rsidP="006320F1">
            <w:pPr>
              <w:pStyle w:val="NoSpacing"/>
              <w:rPr>
                <w:rFonts w:cs="Arial"/>
                <w:szCs w:val="24"/>
              </w:rPr>
            </w:pPr>
            <w:r w:rsidRPr="006320F1">
              <w:rPr>
                <w:rFonts w:cs="Arial"/>
                <w:b/>
                <w:i/>
                <w:szCs w:val="24"/>
              </w:rPr>
              <w:t>Gender</w:t>
            </w:r>
          </w:p>
        </w:tc>
      </w:tr>
      <w:tr w:rsidR="001E570B" w:rsidTr="006320F1">
        <w:tc>
          <w:tcPr>
            <w:tcW w:w="2945" w:type="dxa"/>
          </w:tcPr>
          <w:p w:rsidR="001E570B" w:rsidRDefault="001E570B" w:rsidP="00233D1E">
            <w:pPr>
              <w:pStyle w:val="NoSpacing"/>
              <w:rPr>
                <w:rFonts w:cs="Arial"/>
                <w:szCs w:val="24"/>
              </w:rPr>
            </w:pPr>
            <w:r>
              <w:rPr>
                <w:rFonts w:cs="Arial"/>
                <w:szCs w:val="24"/>
              </w:rPr>
              <w:t>Male</w:t>
            </w:r>
          </w:p>
        </w:tc>
        <w:tc>
          <w:tcPr>
            <w:tcW w:w="1753" w:type="dxa"/>
          </w:tcPr>
          <w:p w:rsidR="001E570B" w:rsidRDefault="00C47C5B" w:rsidP="00233D1E">
            <w:pPr>
              <w:pStyle w:val="NoSpacing"/>
              <w:jc w:val="center"/>
              <w:rPr>
                <w:rFonts w:cs="Arial"/>
                <w:szCs w:val="24"/>
              </w:rPr>
            </w:pPr>
            <w:r>
              <w:rPr>
                <w:rFonts w:cs="Arial"/>
                <w:szCs w:val="24"/>
              </w:rPr>
              <w:t>52.51</w:t>
            </w:r>
          </w:p>
        </w:tc>
        <w:tc>
          <w:tcPr>
            <w:tcW w:w="1823" w:type="dxa"/>
          </w:tcPr>
          <w:p w:rsidR="001E570B" w:rsidRDefault="00C47C5B" w:rsidP="00233D1E">
            <w:pPr>
              <w:pStyle w:val="NoSpacing"/>
              <w:jc w:val="center"/>
              <w:rPr>
                <w:rFonts w:cs="Arial"/>
                <w:szCs w:val="24"/>
              </w:rPr>
            </w:pPr>
            <w:r>
              <w:rPr>
                <w:rFonts w:cs="Arial"/>
                <w:szCs w:val="24"/>
              </w:rPr>
              <w:t>52.06</w:t>
            </w:r>
          </w:p>
        </w:tc>
        <w:tc>
          <w:tcPr>
            <w:tcW w:w="1951" w:type="dxa"/>
          </w:tcPr>
          <w:p w:rsidR="001E570B" w:rsidRDefault="00C47C5B" w:rsidP="00233D1E">
            <w:pPr>
              <w:pStyle w:val="NoSpacing"/>
              <w:jc w:val="center"/>
              <w:rPr>
                <w:rFonts w:cs="Arial"/>
                <w:szCs w:val="24"/>
              </w:rPr>
            </w:pPr>
            <w:r>
              <w:rPr>
                <w:rFonts w:cs="Arial"/>
                <w:szCs w:val="24"/>
              </w:rPr>
              <w:t>49.69</w:t>
            </w:r>
          </w:p>
        </w:tc>
        <w:tc>
          <w:tcPr>
            <w:tcW w:w="2126" w:type="dxa"/>
          </w:tcPr>
          <w:p w:rsidR="001E570B" w:rsidRDefault="00C47C5B" w:rsidP="00233D1E">
            <w:pPr>
              <w:pStyle w:val="NoSpacing"/>
              <w:jc w:val="center"/>
              <w:rPr>
                <w:rFonts w:cs="Arial"/>
                <w:szCs w:val="24"/>
              </w:rPr>
            </w:pPr>
            <w:r>
              <w:rPr>
                <w:rFonts w:cs="Arial"/>
                <w:szCs w:val="24"/>
              </w:rPr>
              <w:t>51.15</w:t>
            </w:r>
          </w:p>
        </w:tc>
        <w:tc>
          <w:tcPr>
            <w:tcW w:w="1853" w:type="dxa"/>
          </w:tcPr>
          <w:p w:rsidR="001E570B" w:rsidRDefault="00C47C5B" w:rsidP="00233D1E">
            <w:pPr>
              <w:pStyle w:val="NoSpacing"/>
              <w:jc w:val="center"/>
              <w:rPr>
                <w:rFonts w:cs="Arial"/>
                <w:szCs w:val="24"/>
              </w:rPr>
            </w:pPr>
            <w:r>
              <w:rPr>
                <w:rFonts w:cs="Arial"/>
                <w:szCs w:val="24"/>
              </w:rPr>
              <w:t>52.14</w:t>
            </w:r>
          </w:p>
        </w:tc>
        <w:tc>
          <w:tcPr>
            <w:tcW w:w="1723" w:type="dxa"/>
          </w:tcPr>
          <w:p w:rsidR="001E570B" w:rsidRDefault="001E570B" w:rsidP="00233D1E">
            <w:pPr>
              <w:pStyle w:val="NoSpacing"/>
              <w:jc w:val="center"/>
              <w:rPr>
                <w:rFonts w:cs="Arial"/>
                <w:szCs w:val="24"/>
              </w:rPr>
            </w:pPr>
            <w:r>
              <w:rPr>
                <w:rFonts w:cs="Arial"/>
                <w:szCs w:val="24"/>
              </w:rPr>
              <w:t>49.11</w:t>
            </w:r>
          </w:p>
        </w:tc>
      </w:tr>
      <w:tr w:rsidR="001E570B" w:rsidTr="006320F1">
        <w:tc>
          <w:tcPr>
            <w:tcW w:w="2945" w:type="dxa"/>
          </w:tcPr>
          <w:p w:rsidR="001E570B" w:rsidRDefault="001E570B" w:rsidP="00233D1E">
            <w:pPr>
              <w:pStyle w:val="NoSpacing"/>
              <w:rPr>
                <w:rFonts w:cs="Arial"/>
                <w:szCs w:val="24"/>
              </w:rPr>
            </w:pPr>
            <w:r>
              <w:rPr>
                <w:rFonts w:cs="Arial"/>
                <w:szCs w:val="24"/>
              </w:rPr>
              <w:t>Female</w:t>
            </w:r>
          </w:p>
        </w:tc>
        <w:tc>
          <w:tcPr>
            <w:tcW w:w="1753" w:type="dxa"/>
          </w:tcPr>
          <w:p w:rsidR="001E570B" w:rsidRDefault="00C47C5B" w:rsidP="00233D1E">
            <w:pPr>
              <w:pStyle w:val="NoSpacing"/>
              <w:jc w:val="center"/>
              <w:rPr>
                <w:rFonts w:cs="Arial"/>
                <w:szCs w:val="24"/>
              </w:rPr>
            </w:pPr>
            <w:r>
              <w:rPr>
                <w:rFonts w:cs="Arial"/>
                <w:szCs w:val="24"/>
              </w:rPr>
              <w:t>47.49</w:t>
            </w:r>
          </w:p>
        </w:tc>
        <w:tc>
          <w:tcPr>
            <w:tcW w:w="1823" w:type="dxa"/>
          </w:tcPr>
          <w:p w:rsidR="001E570B" w:rsidRDefault="00C47C5B" w:rsidP="00233D1E">
            <w:pPr>
              <w:pStyle w:val="NoSpacing"/>
              <w:jc w:val="center"/>
              <w:rPr>
                <w:rFonts w:cs="Arial"/>
                <w:szCs w:val="24"/>
              </w:rPr>
            </w:pPr>
            <w:r>
              <w:rPr>
                <w:rFonts w:cs="Arial"/>
                <w:szCs w:val="24"/>
              </w:rPr>
              <w:t>47.93</w:t>
            </w:r>
          </w:p>
        </w:tc>
        <w:tc>
          <w:tcPr>
            <w:tcW w:w="1951" w:type="dxa"/>
          </w:tcPr>
          <w:p w:rsidR="001E570B" w:rsidRDefault="00C47C5B" w:rsidP="00233D1E">
            <w:pPr>
              <w:pStyle w:val="NoSpacing"/>
              <w:jc w:val="center"/>
              <w:rPr>
                <w:rFonts w:cs="Arial"/>
                <w:szCs w:val="24"/>
              </w:rPr>
            </w:pPr>
            <w:r>
              <w:rPr>
                <w:rFonts w:cs="Arial"/>
                <w:szCs w:val="24"/>
              </w:rPr>
              <w:t>50.31</w:t>
            </w:r>
          </w:p>
        </w:tc>
        <w:tc>
          <w:tcPr>
            <w:tcW w:w="2126" w:type="dxa"/>
          </w:tcPr>
          <w:p w:rsidR="001E570B" w:rsidRDefault="00C47C5B" w:rsidP="00233D1E">
            <w:pPr>
              <w:pStyle w:val="NoSpacing"/>
              <w:jc w:val="center"/>
              <w:rPr>
                <w:rFonts w:cs="Arial"/>
                <w:szCs w:val="24"/>
              </w:rPr>
            </w:pPr>
            <w:r>
              <w:rPr>
                <w:rFonts w:cs="Arial"/>
                <w:szCs w:val="24"/>
              </w:rPr>
              <w:t>48.85</w:t>
            </w:r>
          </w:p>
        </w:tc>
        <w:tc>
          <w:tcPr>
            <w:tcW w:w="1853" w:type="dxa"/>
          </w:tcPr>
          <w:p w:rsidR="001E570B" w:rsidRDefault="00C47C5B" w:rsidP="00233D1E">
            <w:pPr>
              <w:pStyle w:val="NoSpacing"/>
              <w:jc w:val="center"/>
              <w:rPr>
                <w:rFonts w:cs="Arial"/>
                <w:szCs w:val="24"/>
              </w:rPr>
            </w:pPr>
            <w:r>
              <w:rPr>
                <w:rFonts w:cs="Arial"/>
                <w:szCs w:val="24"/>
              </w:rPr>
              <w:t>47.86</w:t>
            </w:r>
          </w:p>
        </w:tc>
        <w:tc>
          <w:tcPr>
            <w:tcW w:w="1723" w:type="dxa"/>
          </w:tcPr>
          <w:p w:rsidR="001E570B" w:rsidRDefault="001E570B" w:rsidP="00233D1E">
            <w:pPr>
              <w:pStyle w:val="NoSpacing"/>
              <w:jc w:val="center"/>
              <w:rPr>
                <w:rFonts w:cs="Arial"/>
                <w:szCs w:val="24"/>
              </w:rPr>
            </w:pPr>
            <w:r>
              <w:rPr>
                <w:rFonts w:cs="Arial"/>
                <w:szCs w:val="24"/>
              </w:rPr>
              <w:t>50.88</w:t>
            </w:r>
          </w:p>
        </w:tc>
      </w:tr>
      <w:tr w:rsidR="001E570B" w:rsidTr="00233D1E">
        <w:tc>
          <w:tcPr>
            <w:tcW w:w="14174" w:type="dxa"/>
            <w:gridSpan w:val="7"/>
          </w:tcPr>
          <w:p w:rsidR="006320F1" w:rsidRDefault="006320F1" w:rsidP="006320F1">
            <w:pPr>
              <w:pStyle w:val="NoSpacing"/>
              <w:rPr>
                <w:rFonts w:cs="Arial"/>
                <w:b/>
                <w:i/>
                <w:szCs w:val="24"/>
              </w:rPr>
            </w:pPr>
          </w:p>
          <w:p w:rsidR="006320F1" w:rsidRDefault="006320F1" w:rsidP="006320F1">
            <w:pPr>
              <w:pStyle w:val="NoSpacing"/>
              <w:rPr>
                <w:rFonts w:cs="Arial"/>
                <w:szCs w:val="24"/>
              </w:rPr>
            </w:pPr>
            <w:r w:rsidRPr="006320F1">
              <w:rPr>
                <w:rFonts w:cs="Arial"/>
                <w:b/>
                <w:i/>
                <w:szCs w:val="24"/>
              </w:rPr>
              <w:t>Disability</w:t>
            </w:r>
          </w:p>
        </w:tc>
      </w:tr>
      <w:tr w:rsidR="001E570B" w:rsidTr="006320F1">
        <w:tc>
          <w:tcPr>
            <w:tcW w:w="2945" w:type="dxa"/>
          </w:tcPr>
          <w:p w:rsidR="001E570B" w:rsidRPr="001E570B" w:rsidRDefault="001E570B" w:rsidP="00233D1E">
            <w:pPr>
              <w:pStyle w:val="NoSpacing"/>
              <w:rPr>
                <w:rFonts w:cs="Arial"/>
                <w:szCs w:val="24"/>
              </w:rPr>
            </w:pPr>
            <w:r w:rsidRPr="001E570B">
              <w:rPr>
                <w:rFonts w:cs="Arial"/>
                <w:szCs w:val="24"/>
              </w:rPr>
              <w:t>Reporting a disability</w:t>
            </w:r>
          </w:p>
        </w:tc>
        <w:tc>
          <w:tcPr>
            <w:tcW w:w="1753" w:type="dxa"/>
          </w:tcPr>
          <w:p w:rsidR="001E570B" w:rsidRDefault="00C47C5B" w:rsidP="00233D1E">
            <w:pPr>
              <w:pStyle w:val="NoSpacing"/>
              <w:jc w:val="center"/>
              <w:rPr>
                <w:rFonts w:cs="Arial"/>
                <w:szCs w:val="24"/>
              </w:rPr>
            </w:pPr>
            <w:r>
              <w:rPr>
                <w:rFonts w:cs="Arial"/>
                <w:szCs w:val="24"/>
              </w:rPr>
              <w:t>12.46</w:t>
            </w:r>
          </w:p>
        </w:tc>
        <w:tc>
          <w:tcPr>
            <w:tcW w:w="1823" w:type="dxa"/>
          </w:tcPr>
          <w:p w:rsidR="001E570B" w:rsidRDefault="00C47C5B" w:rsidP="00233D1E">
            <w:pPr>
              <w:pStyle w:val="NoSpacing"/>
              <w:jc w:val="center"/>
              <w:rPr>
                <w:rFonts w:cs="Arial"/>
                <w:szCs w:val="24"/>
              </w:rPr>
            </w:pPr>
            <w:r>
              <w:rPr>
                <w:rFonts w:cs="Arial"/>
                <w:szCs w:val="24"/>
              </w:rPr>
              <w:t>10.33</w:t>
            </w:r>
          </w:p>
        </w:tc>
        <w:tc>
          <w:tcPr>
            <w:tcW w:w="1951" w:type="dxa"/>
          </w:tcPr>
          <w:p w:rsidR="001E570B" w:rsidRDefault="00C47C5B" w:rsidP="00233D1E">
            <w:pPr>
              <w:pStyle w:val="NoSpacing"/>
              <w:jc w:val="center"/>
              <w:rPr>
                <w:rFonts w:cs="Arial"/>
                <w:szCs w:val="24"/>
              </w:rPr>
            </w:pPr>
            <w:r>
              <w:rPr>
                <w:rFonts w:cs="Arial"/>
                <w:szCs w:val="24"/>
              </w:rPr>
              <w:t>16.03</w:t>
            </w:r>
          </w:p>
        </w:tc>
        <w:tc>
          <w:tcPr>
            <w:tcW w:w="2126" w:type="dxa"/>
          </w:tcPr>
          <w:p w:rsidR="001E570B" w:rsidRDefault="00C47C5B" w:rsidP="00233D1E">
            <w:pPr>
              <w:pStyle w:val="NoSpacing"/>
              <w:jc w:val="center"/>
              <w:rPr>
                <w:rFonts w:cs="Arial"/>
                <w:szCs w:val="24"/>
              </w:rPr>
            </w:pPr>
            <w:r>
              <w:rPr>
                <w:rFonts w:cs="Arial"/>
                <w:szCs w:val="24"/>
              </w:rPr>
              <w:t>13.43</w:t>
            </w:r>
          </w:p>
        </w:tc>
        <w:tc>
          <w:tcPr>
            <w:tcW w:w="1853" w:type="dxa"/>
          </w:tcPr>
          <w:p w:rsidR="001E570B" w:rsidRDefault="00C47C5B" w:rsidP="00233D1E">
            <w:pPr>
              <w:pStyle w:val="NoSpacing"/>
              <w:jc w:val="center"/>
              <w:rPr>
                <w:rFonts w:cs="Arial"/>
                <w:szCs w:val="24"/>
              </w:rPr>
            </w:pPr>
            <w:r>
              <w:rPr>
                <w:rFonts w:cs="Arial"/>
                <w:szCs w:val="24"/>
              </w:rPr>
              <w:t>16.53</w:t>
            </w:r>
          </w:p>
        </w:tc>
        <w:tc>
          <w:tcPr>
            <w:tcW w:w="1723" w:type="dxa"/>
          </w:tcPr>
          <w:p w:rsidR="001E570B" w:rsidRDefault="00C47C5B" w:rsidP="00233D1E">
            <w:pPr>
              <w:pStyle w:val="NoSpacing"/>
              <w:jc w:val="center"/>
              <w:rPr>
                <w:rFonts w:cs="Arial"/>
                <w:szCs w:val="24"/>
              </w:rPr>
            </w:pPr>
            <w:r>
              <w:rPr>
                <w:rFonts w:cs="Arial"/>
                <w:szCs w:val="24"/>
              </w:rPr>
              <w:t>15.83</w:t>
            </w:r>
          </w:p>
        </w:tc>
      </w:tr>
    </w:tbl>
    <w:p w:rsidR="001F4175" w:rsidRDefault="001F4175">
      <w:r>
        <w:lastRenderedPageBreak/>
        <w:br w:type="page"/>
      </w:r>
    </w:p>
    <w:tbl>
      <w:tblPr>
        <w:tblStyle w:val="TableGrid"/>
        <w:tblW w:w="14174" w:type="dxa"/>
        <w:tblLook w:val="04A0"/>
      </w:tblPr>
      <w:tblGrid>
        <w:gridCol w:w="2945"/>
        <w:gridCol w:w="1753"/>
        <w:gridCol w:w="1823"/>
        <w:gridCol w:w="1951"/>
        <w:gridCol w:w="2126"/>
        <w:gridCol w:w="1853"/>
        <w:gridCol w:w="1723"/>
      </w:tblGrid>
      <w:tr w:rsidR="001E570B" w:rsidTr="00233D1E">
        <w:tc>
          <w:tcPr>
            <w:tcW w:w="14174" w:type="dxa"/>
            <w:gridSpan w:val="7"/>
          </w:tcPr>
          <w:p w:rsidR="001E570B" w:rsidRDefault="001E570B" w:rsidP="00233D1E">
            <w:pPr>
              <w:pStyle w:val="NoSpacing"/>
              <w:jc w:val="center"/>
              <w:rPr>
                <w:rFonts w:cs="Arial"/>
                <w:szCs w:val="24"/>
              </w:rPr>
            </w:pPr>
          </w:p>
          <w:p w:rsidR="006320F1" w:rsidRPr="006320F1" w:rsidRDefault="006320F1" w:rsidP="006320F1">
            <w:pPr>
              <w:pStyle w:val="NoSpacing"/>
              <w:rPr>
                <w:rFonts w:cs="Arial"/>
                <w:b/>
                <w:i/>
                <w:szCs w:val="24"/>
              </w:rPr>
            </w:pPr>
            <w:r w:rsidRPr="006320F1">
              <w:rPr>
                <w:rFonts w:cs="Arial"/>
                <w:b/>
                <w:i/>
                <w:szCs w:val="24"/>
              </w:rPr>
              <w:t>Age</w:t>
            </w:r>
          </w:p>
        </w:tc>
      </w:tr>
      <w:tr w:rsidR="001E570B" w:rsidTr="006320F1">
        <w:tc>
          <w:tcPr>
            <w:tcW w:w="2945" w:type="dxa"/>
          </w:tcPr>
          <w:p w:rsidR="001E570B" w:rsidRDefault="00C47C5B" w:rsidP="00233D1E">
            <w:pPr>
              <w:pStyle w:val="NoSpacing"/>
              <w:rPr>
                <w:rFonts w:cs="Arial"/>
                <w:szCs w:val="24"/>
              </w:rPr>
            </w:pPr>
            <w:r>
              <w:rPr>
                <w:rFonts w:cs="Arial"/>
                <w:szCs w:val="24"/>
              </w:rPr>
              <w:t>0 - 4</w:t>
            </w:r>
          </w:p>
        </w:tc>
        <w:tc>
          <w:tcPr>
            <w:tcW w:w="1753" w:type="dxa"/>
          </w:tcPr>
          <w:p w:rsidR="001E570B" w:rsidRDefault="00C47C5B" w:rsidP="00233D1E">
            <w:pPr>
              <w:pStyle w:val="NoSpacing"/>
              <w:jc w:val="center"/>
              <w:rPr>
                <w:rFonts w:cs="Arial"/>
                <w:szCs w:val="24"/>
              </w:rPr>
            </w:pPr>
            <w:r>
              <w:rPr>
                <w:rFonts w:cs="Arial"/>
                <w:szCs w:val="24"/>
              </w:rPr>
              <w:t>7.6</w:t>
            </w:r>
          </w:p>
        </w:tc>
        <w:tc>
          <w:tcPr>
            <w:tcW w:w="1823" w:type="dxa"/>
          </w:tcPr>
          <w:p w:rsidR="001E570B" w:rsidRDefault="00C47C5B" w:rsidP="00233D1E">
            <w:pPr>
              <w:pStyle w:val="NoSpacing"/>
              <w:jc w:val="center"/>
              <w:rPr>
                <w:rFonts w:cs="Arial"/>
                <w:szCs w:val="24"/>
              </w:rPr>
            </w:pPr>
            <w:r>
              <w:rPr>
                <w:rFonts w:cs="Arial"/>
                <w:szCs w:val="24"/>
              </w:rPr>
              <w:t>8.6</w:t>
            </w:r>
          </w:p>
        </w:tc>
        <w:tc>
          <w:tcPr>
            <w:tcW w:w="1951" w:type="dxa"/>
          </w:tcPr>
          <w:p w:rsidR="001E570B" w:rsidRDefault="00C47C5B" w:rsidP="00233D1E">
            <w:pPr>
              <w:pStyle w:val="NoSpacing"/>
              <w:jc w:val="center"/>
              <w:rPr>
                <w:rFonts w:cs="Arial"/>
                <w:szCs w:val="24"/>
              </w:rPr>
            </w:pPr>
            <w:r>
              <w:rPr>
                <w:rFonts w:cs="Arial"/>
                <w:szCs w:val="24"/>
              </w:rPr>
              <w:t>7.5</w:t>
            </w:r>
          </w:p>
        </w:tc>
        <w:tc>
          <w:tcPr>
            <w:tcW w:w="2126" w:type="dxa"/>
          </w:tcPr>
          <w:p w:rsidR="001E570B" w:rsidRDefault="00C47C5B" w:rsidP="00233D1E">
            <w:pPr>
              <w:pStyle w:val="NoSpacing"/>
              <w:jc w:val="center"/>
              <w:rPr>
                <w:rFonts w:cs="Arial"/>
                <w:szCs w:val="24"/>
              </w:rPr>
            </w:pPr>
            <w:r>
              <w:rPr>
                <w:rFonts w:cs="Arial"/>
                <w:szCs w:val="24"/>
              </w:rPr>
              <w:t>6.6</w:t>
            </w:r>
          </w:p>
        </w:tc>
        <w:tc>
          <w:tcPr>
            <w:tcW w:w="1853" w:type="dxa"/>
          </w:tcPr>
          <w:p w:rsidR="001E570B" w:rsidRDefault="00C47C5B" w:rsidP="00233D1E">
            <w:pPr>
              <w:pStyle w:val="NoSpacing"/>
              <w:jc w:val="center"/>
              <w:rPr>
                <w:rFonts w:cs="Arial"/>
                <w:szCs w:val="24"/>
              </w:rPr>
            </w:pPr>
            <w:r>
              <w:rPr>
                <w:rFonts w:cs="Arial"/>
                <w:szCs w:val="24"/>
              </w:rPr>
              <w:t>7.3</w:t>
            </w:r>
          </w:p>
        </w:tc>
        <w:tc>
          <w:tcPr>
            <w:tcW w:w="1723" w:type="dxa"/>
          </w:tcPr>
          <w:p w:rsidR="001E570B" w:rsidRDefault="00C47C5B" w:rsidP="00233D1E">
            <w:pPr>
              <w:pStyle w:val="NoSpacing"/>
              <w:jc w:val="center"/>
              <w:rPr>
                <w:rFonts w:cs="Arial"/>
                <w:szCs w:val="24"/>
              </w:rPr>
            </w:pPr>
            <w:r>
              <w:rPr>
                <w:rFonts w:cs="Arial"/>
                <w:szCs w:val="24"/>
              </w:rPr>
              <w:t>7.5</w:t>
            </w:r>
          </w:p>
        </w:tc>
      </w:tr>
      <w:tr w:rsidR="001E570B" w:rsidTr="006320F1">
        <w:tc>
          <w:tcPr>
            <w:tcW w:w="2945" w:type="dxa"/>
          </w:tcPr>
          <w:p w:rsidR="001E570B" w:rsidRDefault="00C47C5B" w:rsidP="00233D1E">
            <w:pPr>
              <w:pStyle w:val="NoSpacing"/>
              <w:rPr>
                <w:rFonts w:cs="Arial"/>
                <w:szCs w:val="24"/>
              </w:rPr>
            </w:pPr>
            <w:r>
              <w:rPr>
                <w:rFonts w:cs="Arial"/>
                <w:szCs w:val="24"/>
              </w:rPr>
              <w:t>5 – 15</w:t>
            </w:r>
          </w:p>
        </w:tc>
        <w:tc>
          <w:tcPr>
            <w:tcW w:w="1753" w:type="dxa"/>
          </w:tcPr>
          <w:p w:rsidR="001E570B" w:rsidRDefault="00C47C5B" w:rsidP="00233D1E">
            <w:pPr>
              <w:pStyle w:val="NoSpacing"/>
              <w:jc w:val="center"/>
              <w:rPr>
                <w:rFonts w:cs="Arial"/>
                <w:szCs w:val="24"/>
              </w:rPr>
            </w:pPr>
            <w:r>
              <w:rPr>
                <w:rFonts w:cs="Arial"/>
                <w:szCs w:val="24"/>
              </w:rPr>
              <w:t>8.3</w:t>
            </w:r>
          </w:p>
        </w:tc>
        <w:tc>
          <w:tcPr>
            <w:tcW w:w="1823" w:type="dxa"/>
          </w:tcPr>
          <w:p w:rsidR="001E570B" w:rsidRDefault="00C47C5B" w:rsidP="00233D1E">
            <w:pPr>
              <w:pStyle w:val="NoSpacing"/>
              <w:jc w:val="center"/>
              <w:rPr>
                <w:rFonts w:cs="Arial"/>
                <w:szCs w:val="24"/>
              </w:rPr>
            </w:pPr>
            <w:r>
              <w:rPr>
                <w:rFonts w:cs="Arial"/>
                <w:szCs w:val="24"/>
              </w:rPr>
              <w:t>11.2</w:t>
            </w:r>
          </w:p>
        </w:tc>
        <w:tc>
          <w:tcPr>
            <w:tcW w:w="1951" w:type="dxa"/>
          </w:tcPr>
          <w:p w:rsidR="001E570B" w:rsidRDefault="00C47C5B" w:rsidP="00233D1E">
            <w:pPr>
              <w:pStyle w:val="NoSpacing"/>
              <w:jc w:val="center"/>
              <w:rPr>
                <w:rFonts w:cs="Arial"/>
                <w:szCs w:val="24"/>
              </w:rPr>
            </w:pPr>
            <w:r>
              <w:rPr>
                <w:rFonts w:cs="Arial"/>
                <w:szCs w:val="24"/>
              </w:rPr>
              <w:t>7.1</w:t>
            </w:r>
          </w:p>
        </w:tc>
        <w:tc>
          <w:tcPr>
            <w:tcW w:w="2126" w:type="dxa"/>
          </w:tcPr>
          <w:p w:rsidR="001E570B" w:rsidRDefault="00C47C5B" w:rsidP="00233D1E">
            <w:pPr>
              <w:pStyle w:val="NoSpacing"/>
              <w:jc w:val="center"/>
              <w:rPr>
                <w:rFonts w:cs="Arial"/>
                <w:szCs w:val="24"/>
              </w:rPr>
            </w:pPr>
            <w:r>
              <w:rPr>
                <w:rFonts w:cs="Arial"/>
                <w:szCs w:val="24"/>
              </w:rPr>
              <w:t>6.7</w:t>
            </w:r>
          </w:p>
        </w:tc>
        <w:tc>
          <w:tcPr>
            <w:tcW w:w="1853" w:type="dxa"/>
          </w:tcPr>
          <w:p w:rsidR="001E570B" w:rsidRDefault="00C47C5B" w:rsidP="00233D1E">
            <w:pPr>
              <w:pStyle w:val="NoSpacing"/>
              <w:jc w:val="center"/>
              <w:rPr>
                <w:rFonts w:cs="Arial"/>
                <w:szCs w:val="24"/>
              </w:rPr>
            </w:pPr>
            <w:r>
              <w:rPr>
                <w:rFonts w:cs="Arial"/>
                <w:szCs w:val="24"/>
              </w:rPr>
              <w:t>8.8</w:t>
            </w:r>
          </w:p>
        </w:tc>
        <w:tc>
          <w:tcPr>
            <w:tcW w:w="1723" w:type="dxa"/>
          </w:tcPr>
          <w:p w:rsidR="001E570B" w:rsidRDefault="00C47C5B" w:rsidP="00233D1E">
            <w:pPr>
              <w:pStyle w:val="NoSpacing"/>
              <w:jc w:val="center"/>
              <w:rPr>
                <w:rFonts w:cs="Arial"/>
                <w:szCs w:val="24"/>
              </w:rPr>
            </w:pPr>
            <w:r>
              <w:rPr>
                <w:rFonts w:cs="Arial"/>
                <w:szCs w:val="24"/>
              </w:rPr>
              <w:t>12.8</w:t>
            </w:r>
          </w:p>
        </w:tc>
      </w:tr>
      <w:tr w:rsidR="001E570B" w:rsidTr="006320F1">
        <w:tc>
          <w:tcPr>
            <w:tcW w:w="2945" w:type="dxa"/>
          </w:tcPr>
          <w:p w:rsidR="001E570B" w:rsidRDefault="00C47C5B" w:rsidP="00233D1E">
            <w:pPr>
              <w:pStyle w:val="NoSpacing"/>
              <w:rPr>
                <w:rFonts w:cs="Arial"/>
                <w:szCs w:val="24"/>
              </w:rPr>
            </w:pPr>
            <w:r>
              <w:rPr>
                <w:rFonts w:cs="Arial"/>
                <w:szCs w:val="24"/>
              </w:rPr>
              <w:t>16 – 24</w:t>
            </w:r>
          </w:p>
        </w:tc>
        <w:tc>
          <w:tcPr>
            <w:tcW w:w="1753" w:type="dxa"/>
          </w:tcPr>
          <w:p w:rsidR="001E570B" w:rsidRDefault="00C47C5B" w:rsidP="00233D1E">
            <w:pPr>
              <w:pStyle w:val="NoSpacing"/>
              <w:jc w:val="center"/>
              <w:rPr>
                <w:rFonts w:cs="Arial"/>
                <w:szCs w:val="24"/>
              </w:rPr>
            </w:pPr>
            <w:r>
              <w:rPr>
                <w:rFonts w:cs="Arial"/>
                <w:szCs w:val="24"/>
              </w:rPr>
              <w:t>20.8</w:t>
            </w:r>
          </w:p>
        </w:tc>
        <w:tc>
          <w:tcPr>
            <w:tcW w:w="1823" w:type="dxa"/>
          </w:tcPr>
          <w:p w:rsidR="001E570B" w:rsidRDefault="00C47C5B" w:rsidP="00233D1E">
            <w:pPr>
              <w:pStyle w:val="NoSpacing"/>
              <w:jc w:val="center"/>
              <w:rPr>
                <w:rFonts w:cs="Arial"/>
                <w:szCs w:val="24"/>
              </w:rPr>
            </w:pPr>
            <w:r>
              <w:rPr>
                <w:rFonts w:cs="Arial"/>
                <w:szCs w:val="24"/>
              </w:rPr>
              <w:t>14.8</w:t>
            </w:r>
          </w:p>
        </w:tc>
        <w:tc>
          <w:tcPr>
            <w:tcW w:w="1951" w:type="dxa"/>
          </w:tcPr>
          <w:p w:rsidR="001E570B" w:rsidRDefault="00C47C5B" w:rsidP="00233D1E">
            <w:pPr>
              <w:pStyle w:val="NoSpacing"/>
              <w:jc w:val="center"/>
              <w:rPr>
                <w:rFonts w:cs="Arial"/>
                <w:szCs w:val="24"/>
              </w:rPr>
            </w:pPr>
            <w:r>
              <w:rPr>
                <w:rFonts w:cs="Arial"/>
                <w:szCs w:val="24"/>
              </w:rPr>
              <w:t>15.4</w:t>
            </w:r>
          </w:p>
        </w:tc>
        <w:tc>
          <w:tcPr>
            <w:tcW w:w="2126" w:type="dxa"/>
          </w:tcPr>
          <w:p w:rsidR="001E570B" w:rsidRDefault="00C47C5B" w:rsidP="00233D1E">
            <w:pPr>
              <w:pStyle w:val="NoSpacing"/>
              <w:jc w:val="center"/>
              <w:rPr>
                <w:rFonts w:cs="Arial"/>
                <w:szCs w:val="24"/>
              </w:rPr>
            </w:pPr>
            <w:r>
              <w:rPr>
                <w:rFonts w:cs="Arial"/>
                <w:szCs w:val="24"/>
              </w:rPr>
              <w:t>19.6</w:t>
            </w:r>
          </w:p>
        </w:tc>
        <w:tc>
          <w:tcPr>
            <w:tcW w:w="1853" w:type="dxa"/>
          </w:tcPr>
          <w:p w:rsidR="001E570B" w:rsidRDefault="00C47C5B" w:rsidP="00233D1E">
            <w:pPr>
              <w:pStyle w:val="NoSpacing"/>
              <w:jc w:val="center"/>
              <w:rPr>
                <w:rFonts w:cs="Arial"/>
                <w:szCs w:val="24"/>
              </w:rPr>
            </w:pPr>
            <w:r>
              <w:rPr>
                <w:rFonts w:cs="Arial"/>
                <w:szCs w:val="24"/>
              </w:rPr>
              <w:t>11.9</w:t>
            </w:r>
          </w:p>
        </w:tc>
        <w:tc>
          <w:tcPr>
            <w:tcW w:w="1723" w:type="dxa"/>
          </w:tcPr>
          <w:p w:rsidR="001E570B" w:rsidRDefault="00C47C5B" w:rsidP="00233D1E">
            <w:pPr>
              <w:pStyle w:val="NoSpacing"/>
              <w:jc w:val="center"/>
              <w:rPr>
                <w:rFonts w:cs="Arial"/>
                <w:szCs w:val="24"/>
              </w:rPr>
            </w:pPr>
            <w:r>
              <w:rPr>
                <w:rFonts w:cs="Arial"/>
                <w:szCs w:val="24"/>
              </w:rPr>
              <w:t>12.3</w:t>
            </w:r>
          </w:p>
        </w:tc>
      </w:tr>
      <w:tr w:rsidR="001E570B" w:rsidTr="006320F1">
        <w:tc>
          <w:tcPr>
            <w:tcW w:w="2945" w:type="dxa"/>
          </w:tcPr>
          <w:p w:rsidR="001E570B" w:rsidRDefault="00C47C5B" w:rsidP="00233D1E">
            <w:pPr>
              <w:pStyle w:val="NoSpacing"/>
              <w:rPr>
                <w:rFonts w:cs="Arial"/>
                <w:szCs w:val="24"/>
              </w:rPr>
            </w:pPr>
            <w:r>
              <w:rPr>
                <w:rFonts w:cs="Arial"/>
                <w:szCs w:val="24"/>
              </w:rPr>
              <w:t>25 – 44</w:t>
            </w:r>
          </w:p>
        </w:tc>
        <w:tc>
          <w:tcPr>
            <w:tcW w:w="1753" w:type="dxa"/>
          </w:tcPr>
          <w:p w:rsidR="001E570B" w:rsidRDefault="00C47C5B" w:rsidP="00233D1E">
            <w:pPr>
              <w:pStyle w:val="NoSpacing"/>
              <w:jc w:val="center"/>
              <w:rPr>
                <w:rFonts w:cs="Arial"/>
                <w:szCs w:val="24"/>
              </w:rPr>
            </w:pPr>
            <w:r>
              <w:rPr>
                <w:rFonts w:cs="Arial"/>
                <w:szCs w:val="24"/>
              </w:rPr>
              <w:t>42.6</w:t>
            </w:r>
          </w:p>
        </w:tc>
        <w:tc>
          <w:tcPr>
            <w:tcW w:w="1823" w:type="dxa"/>
          </w:tcPr>
          <w:p w:rsidR="001E570B" w:rsidRDefault="00C47C5B" w:rsidP="00233D1E">
            <w:pPr>
              <w:pStyle w:val="NoSpacing"/>
              <w:jc w:val="center"/>
              <w:rPr>
                <w:rFonts w:cs="Arial"/>
                <w:szCs w:val="24"/>
              </w:rPr>
            </w:pPr>
            <w:r>
              <w:rPr>
                <w:rFonts w:cs="Arial"/>
                <w:szCs w:val="24"/>
              </w:rPr>
              <w:t>42.3</w:t>
            </w:r>
          </w:p>
        </w:tc>
        <w:tc>
          <w:tcPr>
            <w:tcW w:w="1951" w:type="dxa"/>
          </w:tcPr>
          <w:p w:rsidR="001E570B" w:rsidRDefault="00C47C5B" w:rsidP="00233D1E">
            <w:pPr>
              <w:pStyle w:val="NoSpacing"/>
              <w:jc w:val="center"/>
              <w:rPr>
                <w:rFonts w:cs="Arial"/>
                <w:szCs w:val="24"/>
              </w:rPr>
            </w:pPr>
            <w:r>
              <w:rPr>
                <w:rFonts w:cs="Arial"/>
                <w:szCs w:val="24"/>
              </w:rPr>
              <w:t>40.0</w:t>
            </w:r>
          </w:p>
        </w:tc>
        <w:tc>
          <w:tcPr>
            <w:tcW w:w="2126" w:type="dxa"/>
          </w:tcPr>
          <w:p w:rsidR="001E570B" w:rsidRDefault="00C47C5B" w:rsidP="00233D1E">
            <w:pPr>
              <w:pStyle w:val="NoSpacing"/>
              <w:jc w:val="center"/>
              <w:rPr>
                <w:rFonts w:cs="Arial"/>
                <w:szCs w:val="24"/>
              </w:rPr>
            </w:pPr>
            <w:r>
              <w:rPr>
                <w:rFonts w:cs="Arial"/>
                <w:szCs w:val="24"/>
              </w:rPr>
              <w:t>42.9</w:t>
            </w:r>
          </w:p>
        </w:tc>
        <w:tc>
          <w:tcPr>
            <w:tcW w:w="1853" w:type="dxa"/>
          </w:tcPr>
          <w:p w:rsidR="001E570B" w:rsidRDefault="00C47C5B" w:rsidP="00233D1E">
            <w:pPr>
              <w:pStyle w:val="NoSpacing"/>
              <w:jc w:val="center"/>
              <w:rPr>
                <w:rFonts w:cs="Arial"/>
                <w:szCs w:val="24"/>
              </w:rPr>
            </w:pPr>
            <w:r>
              <w:rPr>
                <w:rFonts w:cs="Arial"/>
                <w:szCs w:val="24"/>
              </w:rPr>
              <w:t>39.4</w:t>
            </w:r>
          </w:p>
        </w:tc>
        <w:tc>
          <w:tcPr>
            <w:tcW w:w="1723" w:type="dxa"/>
          </w:tcPr>
          <w:p w:rsidR="001E570B" w:rsidRDefault="00C47C5B" w:rsidP="00233D1E">
            <w:pPr>
              <w:pStyle w:val="NoSpacing"/>
              <w:jc w:val="center"/>
              <w:rPr>
                <w:rFonts w:cs="Arial"/>
                <w:szCs w:val="24"/>
              </w:rPr>
            </w:pPr>
            <w:r>
              <w:rPr>
                <w:rFonts w:cs="Arial"/>
                <w:szCs w:val="24"/>
              </w:rPr>
              <w:t>30.2</w:t>
            </w:r>
          </w:p>
        </w:tc>
      </w:tr>
      <w:tr w:rsidR="001E570B" w:rsidTr="006320F1">
        <w:tc>
          <w:tcPr>
            <w:tcW w:w="2945" w:type="dxa"/>
          </w:tcPr>
          <w:p w:rsidR="001E570B" w:rsidRDefault="00C47C5B" w:rsidP="00233D1E">
            <w:pPr>
              <w:pStyle w:val="NoSpacing"/>
              <w:rPr>
                <w:rFonts w:cs="Arial"/>
                <w:szCs w:val="24"/>
              </w:rPr>
            </w:pPr>
            <w:r>
              <w:rPr>
                <w:rFonts w:cs="Arial"/>
                <w:szCs w:val="24"/>
              </w:rPr>
              <w:t>45 – 59</w:t>
            </w:r>
          </w:p>
        </w:tc>
        <w:tc>
          <w:tcPr>
            <w:tcW w:w="1753" w:type="dxa"/>
          </w:tcPr>
          <w:p w:rsidR="001E570B" w:rsidRDefault="00C47C5B" w:rsidP="00233D1E">
            <w:pPr>
              <w:pStyle w:val="NoSpacing"/>
              <w:jc w:val="center"/>
              <w:rPr>
                <w:rFonts w:cs="Arial"/>
                <w:szCs w:val="24"/>
              </w:rPr>
            </w:pPr>
            <w:r>
              <w:rPr>
                <w:rFonts w:cs="Arial"/>
                <w:szCs w:val="24"/>
              </w:rPr>
              <w:t>13.6</w:t>
            </w:r>
          </w:p>
        </w:tc>
        <w:tc>
          <w:tcPr>
            <w:tcW w:w="1823" w:type="dxa"/>
          </w:tcPr>
          <w:p w:rsidR="001E570B" w:rsidRDefault="00C47C5B" w:rsidP="00233D1E">
            <w:pPr>
              <w:pStyle w:val="NoSpacing"/>
              <w:jc w:val="center"/>
              <w:rPr>
                <w:rFonts w:cs="Arial"/>
                <w:szCs w:val="24"/>
              </w:rPr>
            </w:pPr>
            <w:r>
              <w:rPr>
                <w:rFonts w:cs="Arial"/>
                <w:szCs w:val="24"/>
              </w:rPr>
              <w:t>12.9</w:t>
            </w:r>
          </w:p>
        </w:tc>
        <w:tc>
          <w:tcPr>
            <w:tcW w:w="1951" w:type="dxa"/>
          </w:tcPr>
          <w:p w:rsidR="001E570B" w:rsidRDefault="00C47C5B" w:rsidP="00233D1E">
            <w:pPr>
              <w:pStyle w:val="NoSpacing"/>
              <w:jc w:val="center"/>
              <w:rPr>
                <w:rFonts w:cs="Arial"/>
                <w:szCs w:val="24"/>
              </w:rPr>
            </w:pPr>
            <w:r>
              <w:rPr>
                <w:rFonts w:cs="Arial"/>
                <w:szCs w:val="24"/>
              </w:rPr>
              <w:t>15.9</w:t>
            </w:r>
          </w:p>
        </w:tc>
        <w:tc>
          <w:tcPr>
            <w:tcW w:w="2126" w:type="dxa"/>
          </w:tcPr>
          <w:p w:rsidR="001E570B" w:rsidRDefault="00C47C5B" w:rsidP="00233D1E">
            <w:pPr>
              <w:pStyle w:val="NoSpacing"/>
              <w:jc w:val="center"/>
              <w:rPr>
                <w:rFonts w:cs="Arial"/>
                <w:szCs w:val="24"/>
              </w:rPr>
            </w:pPr>
            <w:r>
              <w:rPr>
                <w:rFonts w:cs="Arial"/>
                <w:szCs w:val="24"/>
              </w:rPr>
              <w:t>15.8</w:t>
            </w:r>
          </w:p>
        </w:tc>
        <w:tc>
          <w:tcPr>
            <w:tcW w:w="1853" w:type="dxa"/>
          </w:tcPr>
          <w:p w:rsidR="001E570B" w:rsidRDefault="00C47C5B" w:rsidP="00233D1E">
            <w:pPr>
              <w:pStyle w:val="NoSpacing"/>
              <w:jc w:val="center"/>
              <w:rPr>
                <w:rFonts w:cs="Arial"/>
                <w:szCs w:val="24"/>
              </w:rPr>
            </w:pPr>
            <w:r>
              <w:rPr>
                <w:rFonts w:cs="Arial"/>
                <w:szCs w:val="24"/>
              </w:rPr>
              <w:t>17.6</w:t>
            </w:r>
          </w:p>
        </w:tc>
        <w:tc>
          <w:tcPr>
            <w:tcW w:w="1723" w:type="dxa"/>
          </w:tcPr>
          <w:p w:rsidR="001E570B" w:rsidRDefault="00C47C5B" w:rsidP="00233D1E">
            <w:pPr>
              <w:pStyle w:val="NoSpacing"/>
              <w:jc w:val="center"/>
              <w:rPr>
                <w:rFonts w:cs="Arial"/>
                <w:szCs w:val="24"/>
              </w:rPr>
            </w:pPr>
            <w:r>
              <w:rPr>
                <w:rFonts w:cs="Arial"/>
                <w:szCs w:val="24"/>
              </w:rPr>
              <w:t>18.4</w:t>
            </w:r>
          </w:p>
        </w:tc>
      </w:tr>
      <w:tr w:rsidR="001E570B" w:rsidTr="006320F1">
        <w:tc>
          <w:tcPr>
            <w:tcW w:w="2945" w:type="dxa"/>
          </w:tcPr>
          <w:p w:rsidR="001E570B" w:rsidRDefault="00C47C5B" w:rsidP="00233D1E">
            <w:pPr>
              <w:pStyle w:val="NoSpacing"/>
              <w:rPr>
                <w:rFonts w:cs="Arial"/>
                <w:szCs w:val="24"/>
              </w:rPr>
            </w:pPr>
            <w:r>
              <w:rPr>
                <w:rFonts w:cs="Arial"/>
                <w:szCs w:val="24"/>
              </w:rPr>
              <w:t>60 – 74</w:t>
            </w:r>
          </w:p>
        </w:tc>
        <w:tc>
          <w:tcPr>
            <w:tcW w:w="1753" w:type="dxa"/>
          </w:tcPr>
          <w:p w:rsidR="001E570B" w:rsidRDefault="00C47C5B" w:rsidP="00233D1E">
            <w:pPr>
              <w:pStyle w:val="NoSpacing"/>
              <w:jc w:val="center"/>
              <w:rPr>
                <w:rFonts w:cs="Arial"/>
                <w:szCs w:val="24"/>
              </w:rPr>
            </w:pPr>
            <w:r>
              <w:rPr>
                <w:rFonts w:cs="Arial"/>
                <w:szCs w:val="24"/>
              </w:rPr>
              <w:t>5.3</w:t>
            </w:r>
          </w:p>
        </w:tc>
        <w:tc>
          <w:tcPr>
            <w:tcW w:w="1823" w:type="dxa"/>
          </w:tcPr>
          <w:p w:rsidR="001E570B" w:rsidRDefault="00C47C5B" w:rsidP="00233D1E">
            <w:pPr>
              <w:pStyle w:val="NoSpacing"/>
              <w:jc w:val="center"/>
              <w:rPr>
                <w:rFonts w:cs="Arial"/>
                <w:szCs w:val="24"/>
              </w:rPr>
            </w:pPr>
            <w:r>
              <w:rPr>
                <w:rFonts w:cs="Arial"/>
                <w:szCs w:val="24"/>
              </w:rPr>
              <w:t>4.9</w:t>
            </w:r>
          </w:p>
        </w:tc>
        <w:tc>
          <w:tcPr>
            <w:tcW w:w="1951" w:type="dxa"/>
          </w:tcPr>
          <w:p w:rsidR="001E570B" w:rsidRDefault="00C47C5B" w:rsidP="00233D1E">
            <w:pPr>
              <w:pStyle w:val="NoSpacing"/>
              <w:jc w:val="center"/>
              <w:rPr>
                <w:rFonts w:cs="Arial"/>
                <w:szCs w:val="24"/>
              </w:rPr>
            </w:pPr>
            <w:r>
              <w:rPr>
                <w:rFonts w:cs="Arial"/>
                <w:szCs w:val="24"/>
              </w:rPr>
              <w:t>9.1</w:t>
            </w:r>
          </w:p>
        </w:tc>
        <w:tc>
          <w:tcPr>
            <w:tcW w:w="2126" w:type="dxa"/>
          </w:tcPr>
          <w:p w:rsidR="001E570B" w:rsidRDefault="00C47C5B" w:rsidP="00233D1E">
            <w:pPr>
              <w:pStyle w:val="NoSpacing"/>
              <w:jc w:val="center"/>
              <w:rPr>
                <w:rFonts w:cs="Arial"/>
                <w:szCs w:val="24"/>
              </w:rPr>
            </w:pPr>
            <w:r>
              <w:rPr>
                <w:rFonts w:cs="Arial"/>
                <w:szCs w:val="24"/>
              </w:rPr>
              <w:t>5.4</w:t>
            </w:r>
          </w:p>
        </w:tc>
        <w:tc>
          <w:tcPr>
            <w:tcW w:w="1853" w:type="dxa"/>
          </w:tcPr>
          <w:p w:rsidR="001E570B" w:rsidRDefault="00C47C5B" w:rsidP="00233D1E">
            <w:pPr>
              <w:pStyle w:val="NoSpacing"/>
              <w:jc w:val="center"/>
              <w:rPr>
                <w:rFonts w:cs="Arial"/>
                <w:szCs w:val="24"/>
              </w:rPr>
            </w:pPr>
            <w:r>
              <w:rPr>
                <w:rFonts w:cs="Arial"/>
                <w:szCs w:val="24"/>
              </w:rPr>
              <w:t>11.2</w:t>
            </w:r>
          </w:p>
        </w:tc>
        <w:tc>
          <w:tcPr>
            <w:tcW w:w="1723" w:type="dxa"/>
          </w:tcPr>
          <w:p w:rsidR="001E570B" w:rsidRDefault="00C47C5B" w:rsidP="00233D1E">
            <w:pPr>
              <w:pStyle w:val="NoSpacing"/>
              <w:jc w:val="center"/>
              <w:rPr>
                <w:rFonts w:cs="Arial"/>
                <w:szCs w:val="24"/>
              </w:rPr>
            </w:pPr>
            <w:r>
              <w:rPr>
                <w:rFonts w:cs="Arial"/>
                <w:szCs w:val="24"/>
              </w:rPr>
              <w:t>12.5</w:t>
            </w:r>
          </w:p>
        </w:tc>
      </w:tr>
      <w:tr w:rsidR="001E570B" w:rsidTr="006320F1">
        <w:tc>
          <w:tcPr>
            <w:tcW w:w="2945" w:type="dxa"/>
          </w:tcPr>
          <w:p w:rsidR="001E570B" w:rsidRDefault="00C47C5B" w:rsidP="00233D1E">
            <w:pPr>
              <w:pStyle w:val="NoSpacing"/>
              <w:rPr>
                <w:rFonts w:cs="Arial"/>
                <w:szCs w:val="24"/>
              </w:rPr>
            </w:pPr>
            <w:r>
              <w:rPr>
                <w:rFonts w:cs="Arial"/>
                <w:szCs w:val="24"/>
              </w:rPr>
              <w:t>75 and over</w:t>
            </w:r>
          </w:p>
        </w:tc>
        <w:tc>
          <w:tcPr>
            <w:tcW w:w="1753" w:type="dxa"/>
          </w:tcPr>
          <w:p w:rsidR="001E570B" w:rsidRDefault="00C47C5B" w:rsidP="00233D1E">
            <w:pPr>
              <w:pStyle w:val="NoSpacing"/>
              <w:jc w:val="center"/>
              <w:rPr>
                <w:rFonts w:cs="Arial"/>
                <w:szCs w:val="24"/>
              </w:rPr>
            </w:pPr>
            <w:r>
              <w:rPr>
                <w:rFonts w:cs="Arial"/>
                <w:szCs w:val="24"/>
              </w:rPr>
              <w:t>1.8</w:t>
            </w:r>
          </w:p>
        </w:tc>
        <w:tc>
          <w:tcPr>
            <w:tcW w:w="1823" w:type="dxa"/>
          </w:tcPr>
          <w:p w:rsidR="001E570B" w:rsidRDefault="00C47C5B" w:rsidP="00233D1E">
            <w:pPr>
              <w:pStyle w:val="NoSpacing"/>
              <w:jc w:val="center"/>
              <w:rPr>
                <w:rFonts w:cs="Arial"/>
                <w:szCs w:val="24"/>
              </w:rPr>
            </w:pPr>
            <w:r>
              <w:rPr>
                <w:rFonts w:cs="Arial"/>
                <w:szCs w:val="24"/>
              </w:rPr>
              <w:t>2.2</w:t>
            </w:r>
          </w:p>
        </w:tc>
        <w:tc>
          <w:tcPr>
            <w:tcW w:w="1951" w:type="dxa"/>
          </w:tcPr>
          <w:p w:rsidR="001E570B" w:rsidRDefault="00C47C5B" w:rsidP="00233D1E">
            <w:pPr>
              <w:pStyle w:val="NoSpacing"/>
              <w:jc w:val="center"/>
              <w:rPr>
                <w:rFonts w:cs="Arial"/>
                <w:szCs w:val="24"/>
              </w:rPr>
            </w:pPr>
            <w:r>
              <w:rPr>
                <w:rFonts w:cs="Arial"/>
                <w:szCs w:val="24"/>
              </w:rPr>
              <w:t>4.9</w:t>
            </w:r>
          </w:p>
        </w:tc>
        <w:tc>
          <w:tcPr>
            <w:tcW w:w="2126" w:type="dxa"/>
          </w:tcPr>
          <w:p w:rsidR="001E570B" w:rsidRDefault="00C47C5B" w:rsidP="00233D1E">
            <w:pPr>
              <w:pStyle w:val="NoSpacing"/>
              <w:jc w:val="center"/>
              <w:rPr>
                <w:rFonts w:cs="Arial"/>
                <w:szCs w:val="24"/>
              </w:rPr>
            </w:pPr>
            <w:r>
              <w:rPr>
                <w:rFonts w:cs="Arial"/>
                <w:szCs w:val="24"/>
              </w:rPr>
              <w:t>2.8</w:t>
            </w:r>
          </w:p>
        </w:tc>
        <w:tc>
          <w:tcPr>
            <w:tcW w:w="1853" w:type="dxa"/>
          </w:tcPr>
          <w:p w:rsidR="001E570B" w:rsidRDefault="00C47C5B" w:rsidP="00233D1E">
            <w:pPr>
              <w:pStyle w:val="NoSpacing"/>
              <w:jc w:val="center"/>
              <w:rPr>
                <w:rFonts w:cs="Arial"/>
                <w:szCs w:val="24"/>
              </w:rPr>
            </w:pPr>
            <w:r>
              <w:rPr>
                <w:rFonts w:cs="Arial"/>
                <w:szCs w:val="24"/>
              </w:rPr>
              <w:t>3.8</w:t>
            </w:r>
          </w:p>
        </w:tc>
        <w:tc>
          <w:tcPr>
            <w:tcW w:w="1723" w:type="dxa"/>
          </w:tcPr>
          <w:p w:rsidR="001E570B" w:rsidRDefault="00C47C5B" w:rsidP="00233D1E">
            <w:pPr>
              <w:pStyle w:val="NoSpacing"/>
              <w:jc w:val="center"/>
              <w:rPr>
                <w:rFonts w:cs="Arial"/>
                <w:szCs w:val="24"/>
              </w:rPr>
            </w:pPr>
            <w:r>
              <w:rPr>
                <w:rFonts w:cs="Arial"/>
                <w:szCs w:val="24"/>
              </w:rPr>
              <w:t>6.4</w:t>
            </w:r>
          </w:p>
        </w:tc>
      </w:tr>
      <w:tr w:rsidR="001E570B" w:rsidTr="00233D1E">
        <w:tc>
          <w:tcPr>
            <w:tcW w:w="14174" w:type="dxa"/>
            <w:gridSpan w:val="7"/>
          </w:tcPr>
          <w:p w:rsidR="001E570B" w:rsidRDefault="001E570B" w:rsidP="00233D1E">
            <w:pPr>
              <w:pStyle w:val="NoSpacing"/>
              <w:jc w:val="center"/>
              <w:rPr>
                <w:rFonts w:cs="Arial"/>
                <w:szCs w:val="24"/>
              </w:rPr>
            </w:pPr>
          </w:p>
          <w:p w:rsidR="006320F1" w:rsidRPr="006320F1" w:rsidRDefault="006320F1" w:rsidP="006320F1">
            <w:pPr>
              <w:pStyle w:val="NoSpacing"/>
              <w:rPr>
                <w:rFonts w:cs="Arial"/>
                <w:b/>
                <w:i/>
                <w:szCs w:val="24"/>
              </w:rPr>
            </w:pPr>
            <w:r w:rsidRPr="006320F1">
              <w:rPr>
                <w:rFonts w:cs="Arial"/>
                <w:b/>
                <w:i/>
                <w:szCs w:val="24"/>
              </w:rPr>
              <w:t>Ethnicity</w:t>
            </w:r>
          </w:p>
        </w:tc>
      </w:tr>
      <w:tr w:rsidR="001E570B" w:rsidTr="006320F1">
        <w:tc>
          <w:tcPr>
            <w:tcW w:w="2945" w:type="dxa"/>
          </w:tcPr>
          <w:p w:rsidR="001E570B" w:rsidRDefault="001E570B" w:rsidP="00233D1E">
            <w:pPr>
              <w:pStyle w:val="NoSpacing"/>
              <w:rPr>
                <w:rFonts w:cs="Arial"/>
                <w:szCs w:val="24"/>
              </w:rPr>
            </w:pPr>
            <w:r>
              <w:br w:type="page"/>
            </w:r>
            <w:r>
              <w:rPr>
                <w:rFonts w:cs="Arial"/>
                <w:szCs w:val="24"/>
              </w:rPr>
              <w:t>White (British)</w:t>
            </w:r>
          </w:p>
        </w:tc>
        <w:tc>
          <w:tcPr>
            <w:tcW w:w="1753" w:type="dxa"/>
          </w:tcPr>
          <w:p w:rsidR="001E570B" w:rsidRDefault="00C47C5B" w:rsidP="00233D1E">
            <w:pPr>
              <w:pStyle w:val="NoSpacing"/>
              <w:jc w:val="center"/>
              <w:rPr>
                <w:rFonts w:cs="Arial"/>
                <w:szCs w:val="24"/>
              </w:rPr>
            </w:pPr>
            <w:r>
              <w:rPr>
                <w:rFonts w:cs="Arial"/>
                <w:szCs w:val="24"/>
              </w:rPr>
              <w:t>56.4</w:t>
            </w:r>
          </w:p>
        </w:tc>
        <w:tc>
          <w:tcPr>
            <w:tcW w:w="1823" w:type="dxa"/>
          </w:tcPr>
          <w:p w:rsidR="001E570B" w:rsidRDefault="00C47C5B" w:rsidP="00233D1E">
            <w:pPr>
              <w:pStyle w:val="NoSpacing"/>
              <w:jc w:val="center"/>
              <w:rPr>
                <w:rFonts w:cs="Arial"/>
                <w:szCs w:val="24"/>
              </w:rPr>
            </w:pPr>
            <w:r>
              <w:rPr>
                <w:rFonts w:cs="Arial"/>
                <w:szCs w:val="24"/>
              </w:rPr>
              <w:t>49.7</w:t>
            </w:r>
          </w:p>
        </w:tc>
        <w:tc>
          <w:tcPr>
            <w:tcW w:w="1951" w:type="dxa"/>
          </w:tcPr>
          <w:p w:rsidR="001E570B" w:rsidRDefault="00C47C5B" w:rsidP="00233D1E">
            <w:pPr>
              <w:pStyle w:val="NoSpacing"/>
              <w:jc w:val="center"/>
              <w:rPr>
                <w:rFonts w:cs="Arial"/>
                <w:szCs w:val="24"/>
              </w:rPr>
            </w:pPr>
            <w:r>
              <w:rPr>
                <w:rFonts w:cs="Arial"/>
                <w:szCs w:val="24"/>
              </w:rPr>
              <w:t>57.8</w:t>
            </w:r>
          </w:p>
        </w:tc>
        <w:tc>
          <w:tcPr>
            <w:tcW w:w="2126" w:type="dxa"/>
          </w:tcPr>
          <w:p w:rsidR="001E570B" w:rsidRDefault="00C47C5B" w:rsidP="00233D1E">
            <w:pPr>
              <w:pStyle w:val="NoSpacing"/>
              <w:jc w:val="center"/>
              <w:rPr>
                <w:rFonts w:cs="Arial"/>
                <w:szCs w:val="24"/>
              </w:rPr>
            </w:pPr>
            <w:r>
              <w:rPr>
                <w:rFonts w:cs="Arial"/>
                <w:szCs w:val="24"/>
              </w:rPr>
              <w:t>56.34</w:t>
            </w:r>
          </w:p>
        </w:tc>
        <w:tc>
          <w:tcPr>
            <w:tcW w:w="1853" w:type="dxa"/>
          </w:tcPr>
          <w:p w:rsidR="001E570B" w:rsidRDefault="00C47C5B" w:rsidP="00233D1E">
            <w:pPr>
              <w:pStyle w:val="NoSpacing"/>
              <w:jc w:val="center"/>
              <w:rPr>
                <w:rFonts w:cs="Arial"/>
                <w:szCs w:val="24"/>
              </w:rPr>
            </w:pPr>
            <w:r>
              <w:rPr>
                <w:rFonts w:cs="Arial"/>
                <w:szCs w:val="24"/>
              </w:rPr>
              <w:t>56.0</w:t>
            </w:r>
          </w:p>
        </w:tc>
        <w:tc>
          <w:tcPr>
            <w:tcW w:w="1723" w:type="dxa"/>
          </w:tcPr>
          <w:p w:rsidR="001E570B" w:rsidRDefault="001E570B" w:rsidP="00233D1E">
            <w:pPr>
              <w:pStyle w:val="NoSpacing"/>
              <w:jc w:val="center"/>
              <w:rPr>
                <w:rFonts w:cs="Arial"/>
                <w:szCs w:val="24"/>
              </w:rPr>
            </w:pPr>
            <w:r>
              <w:rPr>
                <w:rFonts w:cs="Arial"/>
                <w:szCs w:val="24"/>
              </w:rPr>
              <w:t>76.55</w:t>
            </w:r>
          </w:p>
        </w:tc>
      </w:tr>
      <w:tr w:rsidR="001E570B" w:rsidTr="006320F1">
        <w:tc>
          <w:tcPr>
            <w:tcW w:w="2945" w:type="dxa"/>
          </w:tcPr>
          <w:p w:rsidR="001E570B" w:rsidRDefault="001E570B" w:rsidP="00233D1E">
            <w:pPr>
              <w:pStyle w:val="NoSpacing"/>
              <w:rPr>
                <w:rFonts w:cs="Arial"/>
                <w:szCs w:val="24"/>
              </w:rPr>
            </w:pPr>
            <w:r>
              <w:rPr>
                <w:rFonts w:cs="Arial"/>
                <w:szCs w:val="24"/>
              </w:rPr>
              <w:t>White (Other)</w:t>
            </w:r>
          </w:p>
        </w:tc>
        <w:tc>
          <w:tcPr>
            <w:tcW w:w="1753" w:type="dxa"/>
          </w:tcPr>
          <w:p w:rsidR="001E570B" w:rsidRDefault="00C47C5B" w:rsidP="00233D1E">
            <w:pPr>
              <w:pStyle w:val="NoSpacing"/>
              <w:jc w:val="center"/>
              <w:rPr>
                <w:rFonts w:cs="Arial"/>
                <w:szCs w:val="24"/>
              </w:rPr>
            </w:pPr>
            <w:r>
              <w:rPr>
                <w:rFonts w:cs="Arial"/>
                <w:szCs w:val="24"/>
              </w:rPr>
              <w:t>20.1</w:t>
            </w:r>
          </w:p>
        </w:tc>
        <w:tc>
          <w:tcPr>
            <w:tcW w:w="1823" w:type="dxa"/>
          </w:tcPr>
          <w:p w:rsidR="001E570B" w:rsidRDefault="00C47C5B" w:rsidP="00233D1E">
            <w:pPr>
              <w:pStyle w:val="NoSpacing"/>
              <w:jc w:val="center"/>
              <w:rPr>
                <w:rFonts w:cs="Arial"/>
                <w:szCs w:val="24"/>
              </w:rPr>
            </w:pPr>
            <w:r>
              <w:rPr>
                <w:rFonts w:cs="Arial"/>
                <w:szCs w:val="24"/>
              </w:rPr>
              <w:t>17.9</w:t>
            </w:r>
          </w:p>
        </w:tc>
        <w:tc>
          <w:tcPr>
            <w:tcW w:w="1951" w:type="dxa"/>
          </w:tcPr>
          <w:p w:rsidR="001E570B" w:rsidRDefault="00C47C5B" w:rsidP="00233D1E">
            <w:pPr>
              <w:pStyle w:val="NoSpacing"/>
              <w:jc w:val="center"/>
              <w:rPr>
                <w:rFonts w:cs="Arial"/>
                <w:szCs w:val="24"/>
              </w:rPr>
            </w:pPr>
            <w:r>
              <w:rPr>
                <w:rFonts w:cs="Arial"/>
                <w:szCs w:val="24"/>
              </w:rPr>
              <w:t>19.0</w:t>
            </w:r>
          </w:p>
        </w:tc>
        <w:tc>
          <w:tcPr>
            <w:tcW w:w="2126" w:type="dxa"/>
          </w:tcPr>
          <w:p w:rsidR="001E570B" w:rsidRDefault="00C47C5B" w:rsidP="00233D1E">
            <w:pPr>
              <w:pStyle w:val="NoSpacing"/>
              <w:jc w:val="center"/>
              <w:rPr>
                <w:rFonts w:cs="Arial"/>
                <w:szCs w:val="24"/>
              </w:rPr>
            </w:pPr>
            <w:r>
              <w:rPr>
                <w:rFonts w:cs="Arial"/>
                <w:szCs w:val="24"/>
              </w:rPr>
              <w:t>19.4</w:t>
            </w:r>
          </w:p>
        </w:tc>
        <w:tc>
          <w:tcPr>
            <w:tcW w:w="1853" w:type="dxa"/>
          </w:tcPr>
          <w:p w:rsidR="001E570B" w:rsidRDefault="00C47C5B" w:rsidP="00233D1E">
            <w:pPr>
              <w:pStyle w:val="NoSpacing"/>
              <w:jc w:val="center"/>
              <w:rPr>
                <w:rFonts w:cs="Arial"/>
                <w:szCs w:val="24"/>
              </w:rPr>
            </w:pPr>
            <w:r>
              <w:rPr>
                <w:rFonts w:cs="Arial"/>
                <w:szCs w:val="24"/>
              </w:rPr>
              <w:t>15.8</w:t>
            </w:r>
          </w:p>
        </w:tc>
        <w:tc>
          <w:tcPr>
            <w:tcW w:w="1723" w:type="dxa"/>
          </w:tcPr>
          <w:p w:rsidR="001E570B" w:rsidRDefault="001E570B" w:rsidP="00233D1E">
            <w:pPr>
              <w:pStyle w:val="NoSpacing"/>
              <w:jc w:val="center"/>
              <w:rPr>
                <w:rFonts w:cs="Arial"/>
                <w:szCs w:val="24"/>
              </w:rPr>
            </w:pPr>
            <w:r>
              <w:rPr>
                <w:rFonts w:cs="Arial"/>
                <w:szCs w:val="24"/>
              </w:rPr>
              <w:t>7.96</w:t>
            </w:r>
          </w:p>
        </w:tc>
      </w:tr>
      <w:tr w:rsidR="001E570B" w:rsidTr="006320F1">
        <w:tc>
          <w:tcPr>
            <w:tcW w:w="2945" w:type="dxa"/>
          </w:tcPr>
          <w:p w:rsidR="001E570B" w:rsidRDefault="001E570B" w:rsidP="00233D1E">
            <w:pPr>
              <w:pStyle w:val="NoSpacing"/>
              <w:rPr>
                <w:rFonts w:cs="Arial"/>
                <w:szCs w:val="24"/>
              </w:rPr>
            </w:pPr>
            <w:r>
              <w:rPr>
                <w:rFonts w:cs="Arial"/>
                <w:szCs w:val="24"/>
              </w:rPr>
              <w:t xml:space="preserve">Mixed </w:t>
            </w:r>
          </w:p>
        </w:tc>
        <w:tc>
          <w:tcPr>
            <w:tcW w:w="1753" w:type="dxa"/>
          </w:tcPr>
          <w:p w:rsidR="001E570B" w:rsidRDefault="00C47C5B" w:rsidP="00233D1E">
            <w:pPr>
              <w:pStyle w:val="NoSpacing"/>
              <w:jc w:val="center"/>
              <w:rPr>
                <w:rFonts w:cs="Arial"/>
                <w:szCs w:val="24"/>
              </w:rPr>
            </w:pPr>
            <w:r>
              <w:rPr>
                <w:rFonts w:cs="Arial"/>
                <w:szCs w:val="24"/>
              </w:rPr>
              <w:t>4.7</w:t>
            </w:r>
          </w:p>
        </w:tc>
        <w:tc>
          <w:tcPr>
            <w:tcW w:w="1823" w:type="dxa"/>
          </w:tcPr>
          <w:p w:rsidR="001E570B" w:rsidRDefault="00C47C5B" w:rsidP="00233D1E">
            <w:pPr>
              <w:pStyle w:val="NoSpacing"/>
              <w:jc w:val="center"/>
              <w:rPr>
                <w:rFonts w:cs="Arial"/>
                <w:szCs w:val="24"/>
              </w:rPr>
            </w:pPr>
            <w:r>
              <w:rPr>
                <w:rFonts w:cs="Arial"/>
                <w:szCs w:val="24"/>
              </w:rPr>
              <w:t>4.5</w:t>
            </w:r>
          </w:p>
        </w:tc>
        <w:tc>
          <w:tcPr>
            <w:tcW w:w="1951" w:type="dxa"/>
          </w:tcPr>
          <w:p w:rsidR="001E570B" w:rsidRDefault="00C47C5B" w:rsidP="00233D1E">
            <w:pPr>
              <w:pStyle w:val="NoSpacing"/>
              <w:jc w:val="center"/>
              <w:rPr>
                <w:rFonts w:cs="Arial"/>
                <w:szCs w:val="24"/>
              </w:rPr>
            </w:pPr>
            <w:r>
              <w:rPr>
                <w:rFonts w:cs="Arial"/>
                <w:szCs w:val="24"/>
              </w:rPr>
              <w:t>3.8</w:t>
            </w:r>
          </w:p>
        </w:tc>
        <w:tc>
          <w:tcPr>
            <w:tcW w:w="2126" w:type="dxa"/>
          </w:tcPr>
          <w:p w:rsidR="001E570B" w:rsidRDefault="00C47C5B" w:rsidP="00233D1E">
            <w:pPr>
              <w:pStyle w:val="NoSpacing"/>
              <w:jc w:val="center"/>
              <w:rPr>
                <w:rFonts w:cs="Arial"/>
                <w:szCs w:val="24"/>
              </w:rPr>
            </w:pPr>
            <w:r>
              <w:rPr>
                <w:rFonts w:cs="Arial"/>
                <w:szCs w:val="24"/>
              </w:rPr>
              <w:t>2.9</w:t>
            </w:r>
          </w:p>
        </w:tc>
        <w:tc>
          <w:tcPr>
            <w:tcW w:w="1853" w:type="dxa"/>
          </w:tcPr>
          <w:p w:rsidR="001E570B" w:rsidRDefault="00C47C5B" w:rsidP="00233D1E">
            <w:pPr>
              <w:pStyle w:val="NoSpacing"/>
              <w:jc w:val="center"/>
              <w:rPr>
                <w:rFonts w:cs="Arial"/>
                <w:szCs w:val="24"/>
              </w:rPr>
            </w:pPr>
            <w:r>
              <w:rPr>
                <w:rFonts w:cs="Arial"/>
                <w:szCs w:val="24"/>
              </w:rPr>
              <w:t>6.4</w:t>
            </w:r>
          </w:p>
        </w:tc>
        <w:tc>
          <w:tcPr>
            <w:tcW w:w="1723" w:type="dxa"/>
          </w:tcPr>
          <w:p w:rsidR="001E570B" w:rsidRDefault="001E570B" w:rsidP="00233D1E">
            <w:pPr>
              <w:pStyle w:val="NoSpacing"/>
              <w:jc w:val="center"/>
              <w:rPr>
                <w:rFonts w:cs="Arial"/>
                <w:szCs w:val="24"/>
              </w:rPr>
            </w:pPr>
            <w:r>
              <w:rPr>
                <w:rFonts w:cs="Arial"/>
                <w:szCs w:val="24"/>
              </w:rPr>
              <w:t>3.22</w:t>
            </w:r>
          </w:p>
        </w:tc>
      </w:tr>
      <w:tr w:rsidR="001E570B" w:rsidTr="006320F1">
        <w:tc>
          <w:tcPr>
            <w:tcW w:w="2945" w:type="dxa"/>
          </w:tcPr>
          <w:p w:rsidR="001E570B" w:rsidRDefault="001E570B" w:rsidP="00233D1E">
            <w:pPr>
              <w:pStyle w:val="NoSpacing"/>
              <w:rPr>
                <w:rFonts w:cs="Arial"/>
                <w:szCs w:val="24"/>
              </w:rPr>
            </w:pPr>
            <w:r>
              <w:rPr>
                <w:rFonts w:cs="Arial"/>
                <w:szCs w:val="24"/>
              </w:rPr>
              <w:t>Asian (Indian sub-continent)</w:t>
            </w:r>
          </w:p>
        </w:tc>
        <w:tc>
          <w:tcPr>
            <w:tcW w:w="1753" w:type="dxa"/>
          </w:tcPr>
          <w:p w:rsidR="001E570B" w:rsidRDefault="00C47C5B" w:rsidP="00233D1E">
            <w:pPr>
              <w:pStyle w:val="NoSpacing"/>
              <w:jc w:val="center"/>
              <w:rPr>
                <w:rFonts w:cs="Arial"/>
                <w:szCs w:val="24"/>
              </w:rPr>
            </w:pPr>
            <w:r>
              <w:rPr>
                <w:rFonts w:cs="Arial"/>
                <w:szCs w:val="24"/>
              </w:rPr>
              <w:t>9.2</w:t>
            </w:r>
          </w:p>
        </w:tc>
        <w:tc>
          <w:tcPr>
            <w:tcW w:w="1823" w:type="dxa"/>
          </w:tcPr>
          <w:p w:rsidR="001E570B" w:rsidRDefault="00C47C5B" w:rsidP="00233D1E">
            <w:pPr>
              <w:pStyle w:val="NoSpacing"/>
              <w:jc w:val="center"/>
              <w:rPr>
                <w:rFonts w:cs="Arial"/>
                <w:szCs w:val="24"/>
              </w:rPr>
            </w:pPr>
            <w:r>
              <w:rPr>
                <w:rFonts w:cs="Arial"/>
                <w:szCs w:val="24"/>
              </w:rPr>
              <w:t>18.0</w:t>
            </w:r>
          </w:p>
        </w:tc>
        <w:tc>
          <w:tcPr>
            <w:tcW w:w="1951" w:type="dxa"/>
          </w:tcPr>
          <w:p w:rsidR="001E570B" w:rsidRDefault="00C47C5B" w:rsidP="00233D1E">
            <w:pPr>
              <w:pStyle w:val="NoSpacing"/>
              <w:jc w:val="center"/>
              <w:rPr>
                <w:rFonts w:cs="Arial"/>
                <w:szCs w:val="24"/>
              </w:rPr>
            </w:pPr>
            <w:r>
              <w:rPr>
                <w:rFonts w:cs="Arial"/>
                <w:szCs w:val="24"/>
              </w:rPr>
              <w:t>14.0</w:t>
            </w:r>
          </w:p>
        </w:tc>
        <w:tc>
          <w:tcPr>
            <w:tcW w:w="2126" w:type="dxa"/>
          </w:tcPr>
          <w:p w:rsidR="001E570B" w:rsidRDefault="00C47C5B" w:rsidP="00233D1E">
            <w:pPr>
              <w:pStyle w:val="NoSpacing"/>
              <w:jc w:val="center"/>
              <w:rPr>
                <w:rFonts w:cs="Arial"/>
                <w:szCs w:val="24"/>
              </w:rPr>
            </w:pPr>
            <w:r>
              <w:rPr>
                <w:rFonts w:cs="Arial"/>
                <w:szCs w:val="24"/>
              </w:rPr>
              <w:t>9.4</w:t>
            </w:r>
          </w:p>
        </w:tc>
        <w:tc>
          <w:tcPr>
            <w:tcW w:w="1853" w:type="dxa"/>
          </w:tcPr>
          <w:p w:rsidR="001E570B" w:rsidRDefault="00C47C5B" w:rsidP="00233D1E">
            <w:pPr>
              <w:pStyle w:val="NoSpacing"/>
              <w:jc w:val="center"/>
              <w:rPr>
                <w:rFonts w:cs="Arial"/>
                <w:szCs w:val="24"/>
              </w:rPr>
            </w:pPr>
            <w:r>
              <w:rPr>
                <w:rFonts w:cs="Arial"/>
                <w:szCs w:val="24"/>
              </w:rPr>
              <w:t>14.0</w:t>
            </w:r>
          </w:p>
        </w:tc>
        <w:tc>
          <w:tcPr>
            <w:tcW w:w="1723" w:type="dxa"/>
          </w:tcPr>
          <w:p w:rsidR="001E570B" w:rsidRDefault="001E570B" w:rsidP="00233D1E">
            <w:pPr>
              <w:pStyle w:val="NoSpacing"/>
              <w:jc w:val="center"/>
              <w:rPr>
                <w:rFonts w:cs="Arial"/>
                <w:szCs w:val="24"/>
              </w:rPr>
            </w:pPr>
            <w:r>
              <w:rPr>
                <w:rFonts w:cs="Arial"/>
                <w:szCs w:val="24"/>
              </w:rPr>
              <w:t>5.68</w:t>
            </w:r>
          </w:p>
        </w:tc>
      </w:tr>
      <w:tr w:rsidR="001E570B" w:rsidTr="006320F1">
        <w:tc>
          <w:tcPr>
            <w:tcW w:w="2945" w:type="dxa"/>
          </w:tcPr>
          <w:p w:rsidR="001E570B" w:rsidRDefault="001E570B" w:rsidP="00233D1E">
            <w:pPr>
              <w:pStyle w:val="NoSpacing"/>
              <w:rPr>
                <w:rFonts w:cs="Arial"/>
                <w:szCs w:val="24"/>
              </w:rPr>
            </w:pPr>
            <w:r>
              <w:rPr>
                <w:rFonts w:cs="Arial"/>
                <w:szCs w:val="24"/>
              </w:rPr>
              <w:t>Black/Black British</w:t>
            </w:r>
          </w:p>
        </w:tc>
        <w:tc>
          <w:tcPr>
            <w:tcW w:w="1753" w:type="dxa"/>
          </w:tcPr>
          <w:p w:rsidR="001E570B" w:rsidRDefault="008F015A" w:rsidP="00233D1E">
            <w:pPr>
              <w:pStyle w:val="NoSpacing"/>
              <w:jc w:val="center"/>
              <w:rPr>
                <w:rFonts w:cs="Arial"/>
                <w:szCs w:val="24"/>
              </w:rPr>
            </w:pPr>
            <w:r>
              <w:rPr>
                <w:rFonts w:cs="Arial"/>
                <w:szCs w:val="24"/>
              </w:rPr>
              <w:t>5.2</w:t>
            </w:r>
          </w:p>
        </w:tc>
        <w:tc>
          <w:tcPr>
            <w:tcW w:w="1823" w:type="dxa"/>
          </w:tcPr>
          <w:p w:rsidR="001E570B" w:rsidRDefault="008F015A" w:rsidP="00233D1E">
            <w:pPr>
              <w:pStyle w:val="NoSpacing"/>
              <w:jc w:val="center"/>
              <w:rPr>
                <w:rFonts w:cs="Arial"/>
                <w:szCs w:val="24"/>
              </w:rPr>
            </w:pPr>
            <w:r>
              <w:rPr>
                <w:rFonts w:cs="Arial"/>
                <w:szCs w:val="24"/>
              </w:rPr>
              <w:t>6.6</w:t>
            </w:r>
          </w:p>
        </w:tc>
        <w:tc>
          <w:tcPr>
            <w:tcW w:w="1951" w:type="dxa"/>
          </w:tcPr>
          <w:p w:rsidR="001E570B" w:rsidRDefault="008F015A" w:rsidP="00233D1E">
            <w:pPr>
              <w:pStyle w:val="NoSpacing"/>
              <w:jc w:val="center"/>
              <w:rPr>
                <w:rFonts w:cs="Arial"/>
                <w:szCs w:val="24"/>
              </w:rPr>
            </w:pPr>
            <w:r>
              <w:rPr>
                <w:rFonts w:cs="Arial"/>
                <w:szCs w:val="24"/>
              </w:rPr>
              <w:t>4.8</w:t>
            </w:r>
          </w:p>
        </w:tc>
        <w:tc>
          <w:tcPr>
            <w:tcW w:w="2126" w:type="dxa"/>
          </w:tcPr>
          <w:p w:rsidR="001E570B" w:rsidRDefault="008F015A" w:rsidP="00233D1E">
            <w:pPr>
              <w:pStyle w:val="NoSpacing"/>
              <w:jc w:val="center"/>
              <w:rPr>
                <w:rFonts w:cs="Arial"/>
                <w:szCs w:val="24"/>
              </w:rPr>
            </w:pPr>
            <w:r>
              <w:rPr>
                <w:rFonts w:cs="Arial"/>
                <w:szCs w:val="24"/>
              </w:rPr>
              <w:t>7.4</w:t>
            </w:r>
          </w:p>
        </w:tc>
        <w:tc>
          <w:tcPr>
            <w:tcW w:w="1853" w:type="dxa"/>
          </w:tcPr>
          <w:p w:rsidR="001E570B" w:rsidRDefault="008F015A" w:rsidP="00233D1E">
            <w:pPr>
              <w:pStyle w:val="NoSpacing"/>
              <w:jc w:val="center"/>
              <w:rPr>
                <w:rFonts w:cs="Arial"/>
                <w:szCs w:val="24"/>
              </w:rPr>
            </w:pPr>
            <w:r>
              <w:rPr>
                <w:rFonts w:cs="Arial"/>
                <w:szCs w:val="24"/>
              </w:rPr>
              <w:t>7.1</w:t>
            </w:r>
          </w:p>
        </w:tc>
        <w:tc>
          <w:tcPr>
            <w:tcW w:w="1723" w:type="dxa"/>
          </w:tcPr>
          <w:p w:rsidR="001E570B" w:rsidRDefault="001E570B" w:rsidP="00233D1E">
            <w:pPr>
              <w:pStyle w:val="NoSpacing"/>
              <w:jc w:val="center"/>
              <w:rPr>
                <w:rFonts w:cs="Arial"/>
                <w:szCs w:val="24"/>
              </w:rPr>
            </w:pPr>
            <w:r>
              <w:rPr>
                <w:rFonts w:cs="Arial"/>
                <w:szCs w:val="24"/>
              </w:rPr>
              <w:t>5.06</w:t>
            </w:r>
          </w:p>
        </w:tc>
      </w:tr>
      <w:tr w:rsidR="001E570B" w:rsidTr="006320F1">
        <w:tc>
          <w:tcPr>
            <w:tcW w:w="2945" w:type="dxa"/>
          </w:tcPr>
          <w:p w:rsidR="001E570B" w:rsidRDefault="001E570B" w:rsidP="00233D1E">
            <w:pPr>
              <w:pStyle w:val="NoSpacing"/>
              <w:rPr>
                <w:rFonts w:cs="Arial"/>
                <w:szCs w:val="24"/>
              </w:rPr>
            </w:pPr>
            <w:r>
              <w:rPr>
                <w:rFonts w:cs="Arial"/>
                <w:szCs w:val="24"/>
              </w:rPr>
              <w:t>Other</w:t>
            </w:r>
          </w:p>
        </w:tc>
        <w:tc>
          <w:tcPr>
            <w:tcW w:w="1753" w:type="dxa"/>
          </w:tcPr>
          <w:p w:rsidR="001E570B" w:rsidRDefault="008F015A" w:rsidP="00233D1E">
            <w:pPr>
              <w:pStyle w:val="NoSpacing"/>
              <w:jc w:val="center"/>
              <w:rPr>
                <w:rFonts w:cs="Arial"/>
                <w:szCs w:val="24"/>
              </w:rPr>
            </w:pPr>
            <w:r>
              <w:rPr>
                <w:rFonts w:cs="Arial"/>
                <w:szCs w:val="24"/>
              </w:rPr>
              <w:t>4.4</w:t>
            </w:r>
          </w:p>
        </w:tc>
        <w:tc>
          <w:tcPr>
            <w:tcW w:w="1823" w:type="dxa"/>
          </w:tcPr>
          <w:p w:rsidR="001E570B" w:rsidRDefault="008F015A" w:rsidP="00233D1E">
            <w:pPr>
              <w:pStyle w:val="NoSpacing"/>
              <w:jc w:val="center"/>
              <w:rPr>
                <w:rFonts w:cs="Arial"/>
                <w:szCs w:val="24"/>
              </w:rPr>
            </w:pPr>
            <w:r>
              <w:rPr>
                <w:rFonts w:cs="Arial"/>
                <w:szCs w:val="24"/>
              </w:rPr>
              <w:t>3.3</w:t>
            </w:r>
          </w:p>
        </w:tc>
        <w:tc>
          <w:tcPr>
            <w:tcW w:w="1951" w:type="dxa"/>
          </w:tcPr>
          <w:p w:rsidR="001E570B" w:rsidRDefault="008F015A" w:rsidP="00233D1E">
            <w:pPr>
              <w:pStyle w:val="NoSpacing"/>
              <w:jc w:val="center"/>
              <w:rPr>
                <w:rFonts w:cs="Arial"/>
                <w:szCs w:val="24"/>
              </w:rPr>
            </w:pPr>
            <w:r>
              <w:rPr>
                <w:rFonts w:cs="Arial"/>
                <w:szCs w:val="24"/>
              </w:rPr>
              <w:t>0.6</w:t>
            </w:r>
          </w:p>
        </w:tc>
        <w:tc>
          <w:tcPr>
            <w:tcW w:w="2126" w:type="dxa"/>
          </w:tcPr>
          <w:p w:rsidR="001E570B" w:rsidRDefault="008F015A" w:rsidP="00233D1E">
            <w:pPr>
              <w:pStyle w:val="NoSpacing"/>
              <w:jc w:val="center"/>
              <w:rPr>
                <w:rFonts w:cs="Arial"/>
                <w:szCs w:val="24"/>
              </w:rPr>
            </w:pPr>
            <w:r>
              <w:rPr>
                <w:rFonts w:cs="Arial"/>
                <w:szCs w:val="24"/>
              </w:rPr>
              <w:t>4.56</w:t>
            </w:r>
          </w:p>
        </w:tc>
        <w:tc>
          <w:tcPr>
            <w:tcW w:w="1853" w:type="dxa"/>
          </w:tcPr>
          <w:p w:rsidR="001E570B" w:rsidRDefault="008F015A" w:rsidP="00233D1E">
            <w:pPr>
              <w:pStyle w:val="NoSpacing"/>
              <w:jc w:val="center"/>
              <w:rPr>
                <w:rFonts w:cs="Arial"/>
                <w:szCs w:val="24"/>
              </w:rPr>
            </w:pPr>
            <w:r>
              <w:rPr>
                <w:rFonts w:cs="Arial"/>
                <w:szCs w:val="24"/>
              </w:rPr>
              <w:t>0.7</w:t>
            </w:r>
          </w:p>
        </w:tc>
        <w:tc>
          <w:tcPr>
            <w:tcW w:w="1723" w:type="dxa"/>
          </w:tcPr>
          <w:p w:rsidR="001E570B" w:rsidRDefault="001E570B" w:rsidP="00233D1E">
            <w:pPr>
              <w:pStyle w:val="NoSpacing"/>
              <w:jc w:val="center"/>
              <w:rPr>
                <w:rFonts w:cs="Arial"/>
                <w:szCs w:val="24"/>
              </w:rPr>
            </w:pPr>
            <w:r>
              <w:rPr>
                <w:rFonts w:cs="Arial"/>
                <w:szCs w:val="24"/>
              </w:rPr>
              <w:t>1.51</w:t>
            </w:r>
          </w:p>
        </w:tc>
      </w:tr>
      <w:tr w:rsidR="00814C04" w:rsidTr="00233D1E">
        <w:tc>
          <w:tcPr>
            <w:tcW w:w="14174" w:type="dxa"/>
            <w:gridSpan w:val="7"/>
          </w:tcPr>
          <w:p w:rsidR="00814C04" w:rsidRDefault="00814C04" w:rsidP="00233D1E">
            <w:pPr>
              <w:pStyle w:val="NoSpacing"/>
              <w:jc w:val="center"/>
              <w:rPr>
                <w:rFonts w:cs="Arial"/>
                <w:szCs w:val="24"/>
              </w:rPr>
            </w:pPr>
          </w:p>
          <w:p w:rsidR="00814C04" w:rsidRPr="00814C04" w:rsidRDefault="00814C04" w:rsidP="00814C04">
            <w:pPr>
              <w:pStyle w:val="NoSpacing"/>
              <w:rPr>
                <w:rFonts w:cs="Arial"/>
                <w:b/>
                <w:i/>
                <w:szCs w:val="24"/>
              </w:rPr>
            </w:pPr>
            <w:r w:rsidRPr="00814C04">
              <w:rPr>
                <w:rFonts w:cs="Arial"/>
                <w:b/>
                <w:i/>
                <w:szCs w:val="24"/>
              </w:rPr>
              <w:t>Main language spoken</w:t>
            </w:r>
            <w:r w:rsidR="008F015A">
              <w:rPr>
                <w:rFonts w:cs="Arial"/>
                <w:b/>
                <w:i/>
                <w:szCs w:val="24"/>
              </w:rPr>
              <w:t xml:space="preserve"> (not all language groups cited)</w:t>
            </w:r>
          </w:p>
        </w:tc>
      </w:tr>
      <w:tr w:rsidR="00814C04" w:rsidTr="006320F1">
        <w:tc>
          <w:tcPr>
            <w:tcW w:w="2945" w:type="dxa"/>
          </w:tcPr>
          <w:p w:rsidR="00814C04" w:rsidRDefault="00814C04" w:rsidP="00233D1E">
            <w:pPr>
              <w:pStyle w:val="NoSpacing"/>
              <w:rPr>
                <w:rFonts w:cs="Arial"/>
                <w:szCs w:val="24"/>
              </w:rPr>
            </w:pPr>
            <w:r>
              <w:rPr>
                <w:rFonts w:cs="Arial"/>
                <w:szCs w:val="24"/>
              </w:rPr>
              <w:t>English</w:t>
            </w:r>
          </w:p>
        </w:tc>
        <w:tc>
          <w:tcPr>
            <w:tcW w:w="1753" w:type="dxa"/>
          </w:tcPr>
          <w:p w:rsidR="00814C04" w:rsidRDefault="008F015A" w:rsidP="00233D1E">
            <w:pPr>
              <w:pStyle w:val="NoSpacing"/>
              <w:jc w:val="center"/>
              <w:rPr>
                <w:rFonts w:cs="Arial"/>
                <w:szCs w:val="24"/>
              </w:rPr>
            </w:pPr>
            <w:r>
              <w:rPr>
                <w:rFonts w:cs="Arial"/>
                <w:szCs w:val="24"/>
              </w:rPr>
              <w:t>76.11</w:t>
            </w:r>
          </w:p>
        </w:tc>
        <w:tc>
          <w:tcPr>
            <w:tcW w:w="1823" w:type="dxa"/>
          </w:tcPr>
          <w:p w:rsidR="00814C04" w:rsidRDefault="008F015A" w:rsidP="00233D1E">
            <w:pPr>
              <w:pStyle w:val="NoSpacing"/>
              <w:jc w:val="center"/>
              <w:rPr>
                <w:rFonts w:cs="Arial"/>
                <w:szCs w:val="24"/>
              </w:rPr>
            </w:pPr>
            <w:r>
              <w:rPr>
                <w:rFonts w:cs="Arial"/>
                <w:szCs w:val="24"/>
              </w:rPr>
              <w:t>67.84</w:t>
            </w:r>
          </w:p>
        </w:tc>
        <w:tc>
          <w:tcPr>
            <w:tcW w:w="1951" w:type="dxa"/>
          </w:tcPr>
          <w:p w:rsidR="00814C04" w:rsidRDefault="008F015A" w:rsidP="00233D1E">
            <w:pPr>
              <w:pStyle w:val="NoSpacing"/>
              <w:jc w:val="center"/>
              <w:rPr>
                <w:rFonts w:cs="Arial"/>
                <w:szCs w:val="24"/>
              </w:rPr>
            </w:pPr>
            <w:r>
              <w:rPr>
                <w:rFonts w:cs="Arial"/>
                <w:szCs w:val="24"/>
              </w:rPr>
              <w:t>75.69</w:t>
            </w:r>
          </w:p>
        </w:tc>
        <w:tc>
          <w:tcPr>
            <w:tcW w:w="2126" w:type="dxa"/>
          </w:tcPr>
          <w:p w:rsidR="00814C04" w:rsidRDefault="008F015A" w:rsidP="00233D1E">
            <w:pPr>
              <w:pStyle w:val="NoSpacing"/>
              <w:jc w:val="center"/>
              <w:rPr>
                <w:rFonts w:cs="Arial"/>
                <w:szCs w:val="24"/>
              </w:rPr>
            </w:pPr>
            <w:r>
              <w:rPr>
                <w:rFonts w:cs="Arial"/>
                <w:szCs w:val="24"/>
              </w:rPr>
              <w:t>74.48</w:t>
            </w:r>
          </w:p>
        </w:tc>
        <w:tc>
          <w:tcPr>
            <w:tcW w:w="1853" w:type="dxa"/>
          </w:tcPr>
          <w:p w:rsidR="00814C04" w:rsidRDefault="008F015A" w:rsidP="00233D1E">
            <w:pPr>
              <w:pStyle w:val="NoSpacing"/>
              <w:jc w:val="center"/>
              <w:rPr>
                <w:rFonts w:cs="Arial"/>
                <w:szCs w:val="24"/>
              </w:rPr>
            </w:pPr>
            <w:r>
              <w:rPr>
                <w:rFonts w:cs="Arial"/>
                <w:szCs w:val="24"/>
              </w:rPr>
              <w:t>77.87</w:t>
            </w:r>
          </w:p>
        </w:tc>
        <w:tc>
          <w:tcPr>
            <w:tcW w:w="1723" w:type="dxa"/>
          </w:tcPr>
          <w:p w:rsidR="00814C04" w:rsidRDefault="00814C04" w:rsidP="00233D1E">
            <w:pPr>
              <w:pStyle w:val="NoSpacing"/>
              <w:jc w:val="center"/>
              <w:rPr>
                <w:rFonts w:cs="Arial"/>
                <w:szCs w:val="24"/>
              </w:rPr>
            </w:pPr>
            <w:r>
              <w:rPr>
                <w:rFonts w:cs="Arial"/>
                <w:szCs w:val="24"/>
              </w:rPr>
              <w:t>89.92</w:t>
            </w:r>
          </w:p>
        </w:tc>
      </w:tr>
      <w:tr w:rsidR="00814C04" w:rsidTr="006320F1">
        <w:tc>
          <w:tcPr>
            <w:tcW w:w="2945" w:type="dxa"/>
          </w:tcPr>
          <w:p w:rsidR="00814C04" w:rsidRDefault="00814C04" w:rsidP="00814C04">
            <w:pPr>
              <w:pStyle w:val="NoSpacing"/>
              <w:rPr>
                <w:rFonts w:cs="Arial"/>
                <w:szCs w:val="24"/>
              </w:rPr>
            </w:pPr>
            <w:r>
              <w:rPr>
                <w:rFonts w:cs="Arial"/>
                <w:szCs w:val="24"/>
              </w:rPr>
              <w:t xml:space="preserve">Other European </w:t>
            </w:r>
          </w:p>
        </w:tc>
        <w:tc>
          <w:tcPr>
            <w:tcW w:w="1753" w:type="dxa"/>
          </w:tcPr>
          <w:p w:rsidR="00814C04" w:rsidRDefault="008F015A" w:rsidP="00233D1E">
            <w:pPr>
              <w:pStyle w:val="NoSpacing"/>
              <w:jc w:val="center"/>
              <w:rPr>
                <w:rFonts w:cs="Arial"/>
                <w:szCs w:val="24"/>
              </w:rPr>
            </w:pPr>
            <w:r>
              <w:rPr>
                <w:rFonts w:cs="Arial"/>
                <w:szCs w:val="24"/>
              </w:rPr>
              <w:t>14.07</w:t>
            </w:r>
          </w:p>
        </w:tc>
        <w:tc>
          <w:tcPr>
            <w:tcW w:w="1823" w:type="dxa"/>
          </w:tcPr>
          <w:p w:rsidR="00814C04" w:rsidRDefault="008F015A" w:rsidP="00233D1E">
            <w:pPr>
              <w:pStyle w:val="NoSpacing"/>
              <w:jc w:val="center"/>
              <w:rPr>
                <w:rFonts w:cs="Arial"/>
                <w:szCs w:val="24"/>
              </w:rPr>
            </w:pPr>
            <w:r>
              <w:rPr>
                <w:rFonts w:cs="Arial"/>
                <w:szCs w:val="24"/>
              </w:rPr>
              <w:t>14.73</w:t>
            </w:r>
          </w:p>
        </w:tc>
        <w:tc>
          <w:tcPr>
            <w:tcW w:w="1951" w:type="dxa"/>
          </w:tcPr>
          <w:p w:rsidR="00814C04" w:rsidRDefault="008F015A" w:rsidP="00233D1E">
            <w:pPr>
              <w:pStyle w:val="NoSpacing"/>
              <w:jc w:val="center"/>
              <w:rPr>
                <w:rFonts w:cs="Arial"/>
                <w:szCs w:val="24"/>
              </w:rPr>
            </w:pPr>
            <w:r>
              <w:rPr>
                <w:rFonts w:cs="Arial"/>
                <w:szCs w:val="24"/>
              </w:rPr>
              <w:t>13.64</w:t>
            </w:r>
          </w:p>
        </w:tc>
        <w:tc>
          <w:tcPr>
            <w:tcW w:w="2126" w:type="dxa"/>
          </w:tcPr>
          <w:p w:rsidR="00814C04" w:rsidRDefault="008F015A" w:rsidP="00233D1E">
            <w:pPr>
              <w:pStyle w:val="NoSpacing"/>
              <w:jc w:val="center"/>
              <w:rPr>
                <w:rFonts w:cs="Arial"/>
                <w:szCs w:val="24"/>
              </w:rPr>
            </w:pPr>
            <w:r>
              <w:rPr>
                <w:rFonts w:cs="Arial"/>
                <w:szCs w:val="24"/>
              </w:rPr>
              <w:t>13.86</w:t>
            </w:r>
          </w:p>
        </w:tc>
        <w:tc>
          <w:tcPr>
            <w:tcW w:w="1853" w:type="dxa"/>
          </w:tcPr>
          <w:p w:rsidR="00814C04" w:rsidRDefault="008F015A" w:rsidP="00233D1E">
            <w:pPr>
              <w:pStyle w:val="NoSpacing"/>
              <w:jc w:val="center"/>
              <w:rPr>
                <w:rFonts w:cs="Arial"/>
                <w:szCs w:val="24"/>
              </w:rPr>
            </w:pPr>
            <w:r>
              <w:rPr>
                <w:rFonts w:cs="Arial"/>
                <w:szCs w:val="24"/>
              </w:rPr>
              <w:t>11.21</w:t>
            </w:r>
          </w:p>
        </w:tc>
        <w:tc>
          <w:tcPr>
            <w:tcW w:w="1723" w:type="dxa"/>
          </w:tcPr>
          <w:p w:rsidR="00814C04" w:rsidRDefault="00814C04" w:rsidP="00233D1E">
            <w:pPr>
              <w:pStyle w:val="NoSpacing"/>
              <w:jc w:val="center"/>
              <w:rPr>
                <w:rFonts w:cs="Arial"/>
                <w:szCs w:val="24"/>
              </w:rPr>
            </w:pPr>
            <w:r>
              <w:rPr>
                <w:rFonts w:cs="Arial"/>
                <w:szCs w:val="24"/>
              </w:rPr>
              <w:t>4.66</w:t>
            </w:r>
          </w:p>
        </w:tc>
      </w:tr>
      <w:tr w:rsidR="00814C04" w:rsidTr="006320F1">
        <w:tc>
          <w:tcPr>
            <w:tcW w:w="2945" w:type="dxa"/>
          </w:tcPr>
          <w:p w:rsidR="00814C04" w:rsidRDefault="00814C04" w:rsidP="00233D1E">
            <w:pPr>
              <w:pStyle w:val="NoSpacing"/>
              <w:rPr>
                <w:rFonts w:cs="Arial"/>
                <w:szCs w:val="24"/>
              </w:rPr>
            </w:pPr>
            <w:r>
              <w:rPr>
                <w:rFonts w:cs="Arial"/>
                <w:szCs w:val="24"/>
              </w:rPr>
              <w:t xml:space="preserve">    </w:t>
            </w:r>
            <w:r w:rsidR="008F015A">
              <w:rPr>
                <w:rFonts w:cs="Arial"/>
                <w:szCs w:val="24"/>
              </w:rPr>
              <w:t xml:space="preserve">out </w:t>
            </w:r>
            <w:r>
              <w:rPr>
                <w:rFonts w:cs="Arial"/>
                <w:szCs w:val="24"/>
              </w:rPr>
              <w:t>of which, Polish</w:t>
            </w:r>
          </w:p>
        </w:tc>
        <w:tc>
          <w:tcPr>
            <w:tcW w:w="1753" w:type="dxa"/>
          </w:tcPr>
          <w:p w:rsidR="00814C04" w:rsidRDefault="008F015A" w:rsidP="00233D1E">
            <w:pPr>
              <w:pStyle w:val="NoSpacing"/>
              <w:jc w:val="center"/>
              <w:rPr>
                <w:rFonts w:cs="Arial"/>
                <w:szCs w:val="24"/>
              </w:rPr>
            </w:pPr>
            <w:r>
              <w:rPr>
                <w:rFonts w:cs="Arial"/>
                <w:szCs w:val="24"/>
              </w:rPr>
              <w:t>7.39</w:t>
            </w:r>
          </w:p>
        </w:tc>
        <w:tc>
          <w:tcPr>
            <w:tcW w:w="1823" w:type="dxa"/>
          </w:tcPr>
          <w:p w:rsidR="00814C04" w:rsidRDefault="008F015A" w:rsidP="00233D1E">
            <w:pPr>
              <w:pStyle w:val="NoSpacing"/>
              <w:jc w:val="center"/>
              <w:rPr>
                <w:rFonts w:cs="Arial"/>
                <w:szCs w:val="24"/>
              </w:rPr>
            </w:pPr>
            <w:r>
              <w:rPr>
                <w:rFonts w:cs="Arial"/>
                <w:szCs w:val="24"/>
              </w:rPr>
              <w:t>9.44</w:t>
            </w:r>
          </w:p>
        </w:tc>
        <w:tc>
          <w:tcPr>
            <w:tcW w:w="1951" w:type="dxa"/>
          </w:tcPr>
          <w:p w:rsidR="00814C04" w:rsidRDefault="008F015A" w:rsidP="00233D1E">
            <w:pPr>
              <w:pStyle w:val="NoSpacing"/>
              <w:jc w:val="center"/>
              <w:rPr>
                <w:rFonts w:cs="Arial"/>
                <w:szCs w:val="24"/>
              </w:rPr>
            </w:pPr>
            <w:r>
              <w:rPr>
                <w:rFonts w:cs="Arial"/>
                <w:szCs w:val="24"/>
              </w:rPr>
              <w:t>7.38</w:t>
            </w:r>
          </w:p>
        </w:tc>
        <w:tc>
          <w:tcPr>
            <w:tcW w:w="2126" w:type="dxa"/>
          </w:tcPr>
          <w:p w:rsidR="00814C04" w:rsidRDefault="008F015A" w:rsidP="00233D1E">
            <w:pPr>
              <w:pStyle w:val="NoSpacing"/>
              <w:jc w:val="center"/>
              <w:rPr>
                <w:rFonts w:cs="Arial"/>
                <w:szCs w:val="24"/>
              </w:rPr>
            </w:pPr>
            <w:r>
              <w:rPr>
                <w:rFonts w:cs="Arial"/>
                <w:szCs w:val="24"/>
              </w:rPr>
              <w:t>9.4</w:t>
            </w:r>
          </w:p>
        </w:tc>
        <w:tc>
          <w:tcPr>
            <w:tcW w:w="1853" w:type="dxa"/>
          </w:tcPr>
          <w:p w:rsidR="00814C04" w:rsidRDefault="008F015A" w:rsidP="00233D1E">
            <w:pPr>
              <w:pStyle w:val="NoSpacing"/>
              <w:jc w:val="center"/>
              <w:rPr>
                <w:rFonts w:cs="Arial"/>
                <w:szCs w:val="24"/>
              </w:rPr>
            </w:pPr>
            <w:r>
              <w:rPr>
                <w:rFonts w:cs="Arial"/>
                <w:szCs w:val="24"/>
              </w:rPr>
              <w:t>6.39</w:t>
            </w:r>
          </w:p>
        </w:tc>
        <w:tc>
          <w:tcPr>
            <w:tcW w:w="1723" w:type="dxa"/>
          </w:tcPr>
          <w:p w:rsidR="00814C04" w:rsidRDefault="00814C04" w:rsidP="00233D1E">
            <w:pPr>
              <w:pStyle w:val="NoSpacing"/>
              <w:jc w:val="center"/>
              <w:rPr>
                <w:rFonts w:cs="Arial"/>
                <w:szCs w:val="24"/>
              </w:rPr>
            </w:pPr>
            <w:r>
              <w:rPr>
                <w:rFonts w:cs="Arial"/>
                <w:szCs w:val="24"/>
              </w:rPr>
              <w:t>2.67</w:t>
            </w:r>
          </w:p>
        </w:tc>
      </w:tr>
      <w:tr w:rsidR="00814C04" w:rsidTr="006320F1">
        <w:tc>
          <w:tcPr>
            <w:tcW w:w="2945" w:type="dxa"/>
          </w:tcPr>
          <w:p w:rsidR="00814C04" w:rsidRDefault="00814C04" w:rsidP="00233D1E">
            <w:pPr>
              <w:pStyle w:val="NoSpacing"/>
              <w:rPr>
                <w:rFonts w:cs="Arial"/>
                <w:szCs w:val="24"/>
              </w:rPr>
            </w:pPr>
            <w:r>
              <w:rPr>
                <w:rFonts w:cs="Arial"/>
                <w:szCs w:val="24"/>
              </w:rPr>
              <w:t>South Asian languages</w:t>
            </w:r>
          </w:p>
        </w:tc>
        <w:tc>
          <w:tcPr>
            <w:tcW w:w="1753" w:type="dxa"/>
          </w:tcPr>
          <w:p w:rsidR="00814C04" w:rsidRDefault="008F015A" w:rsidP="00233D1E">
            <w:pPr>
              <w:pStyle w:val="NoSpacing"/>
              <w:jc w:val="center"/>
              <w:rPr>
                <w:rFonts w:cs="Arial"/>
                <w:szCs w:val="24"/>
              </w:rPr>
            </w:pPr>
            <w:r>
              <w:rPr>
                <w:rFonts w:cs="Arial"/>
                <w:szCs w:val="24"/>
              </w:rPr>
              <w:t>4.84</w:t>
            </w:r>
          </w:p>
        </w:tc>
        <w:tc>
          <w:tcPr>
            <w:tcW w:w="1823" w:type="dxa"/>
          </w:tcPr>
          <w:p w:rsidR="00814C04" w:rsidRDefault="008F015A" w:rsidP="00233D1E">
            <w:pPr>
              <w:pStyle w:val="NoSpacing"/>
              <w:jc w:val="center"/>
              <w:rPr>
                <w:rFonts w:cs="Arial"/>
                <w:szCs w:val="24"/>
              </w:rPr>
            </w:pPr>
            <w:r>
              <w:rPr>
                <w:rFonts w:cs="Arial"/>
                <w:szCs w:val="24"/>
              </w:rPr>
              <w:t>12.86</w:t>
            </w:r>
          </w:p>
        </w:tc>
        <w:tc>
          <w:tcPr>
            <w:tcW w:w="1951" w:type="dxa"/>
          </w:tcPr>
          <w:p w:rsidR="00814C04" w:rsidRDefault="008F015A" w:rsidP="00233D1E">
            <w:pPr>
              <w:pStyle w:val="NoSpacing"/>
              <w:jc w:val="center"/>
              <w:rPr>
                <w:rFonts w:cs="Arial"/>
                <w:szCs w:val="24"/>
              </w:rPr>
            </w:pPr>
            <w:r>
              <w:rPr>
                <w:rFonts w:cs="Arial"/>
                <w:szCs w:val="24"/>
              </w:rPr>
              <w:t>6.31</w:t>
            </w:r>
          </w:p>
        </w:tc>
        <w:tc>
          <w:tcPr>
            <w:tcW w:w="2126" w:type="dxa"/>
          </w:tcPr>
          <w:p w:rsidR="00814C04" w:rsidRDefault="008F015A" w:rsidP="00233D1E">
            <w:pPr>
              <w:pStyle w:val="NoSpacing"/>
              <w:jc w:val="center"/>
              <w:rPr>
                <w:rFonts w:cs="Arial"/>
                <w:szCs w:val="24"/>
              </w:rPr>
            </w:pPr>
            <w:r>
              <w:rPr>
                <w:rFonts w:cs="Arial"/>
                <w:szCs w:val="24"/>
              </w:rPr>
              <w:t>5.22</w:t>
            </w:r>
          </w:p>
        </w:tc>
        <w:tc>
          <w:tcPr>
            <w:tcW w:w="1853" w:type="dxa"/>
          </w:tcPr>
          <w:p w:rsidR="00814C04" w:rsidRDefault="008F015A" w:rsidP="00233D1E">
            <w:pPr>
              <w:pStyle w:val="NoSpacing"/>
              <w:jc w:val="center"/>
              <w:rPr>
                <w:rFonts w:cs="Arial"/>
                <w:szCs w:val="24"/>
              </w:rPr>
            </w:pPr>
            <w:r>
              <w:rPr>
                <w:rFonts w:cs="Arial"/>
                <w:szCs w:val="24"/>
              </w:rPr>
              <w:t>6.82</w:t>
            </w:r>
          </w:p>
        </w:tc>
        <w:tc>
          <w:tcPr>
            <w:tcW w:w="1723" w:type="dxa"/>
          </w:tcPr>
          <w:p w:rsidR="00814C04" w:rsidRDefault="00814C04" w:rsidP="00233D1E">
            <w:pPr>
              <w:pStyle w:val="NoSpacing"/>
              <w:jc w:val="center"/>
              <w:rPr>
                <w:rFonts w:cs="Arial"/>
                <w:szCs w:val="24"/>
              </w:rPr>
            </w:pPr>
            <w:r>
              <w:rPr>
                <w:rFonts w:cs="Arial"/>
                <w:szCs w:val="24"/>
              </w:rPr>
              <w:t>2.21</w:t>
            </w:r>
          </w:p>
        </w:tc>
      </w:tr>
      <w:tr w:rsidR="002623AA" w:rsidTr="006320F1">
        <w:tc>
          <w:tcPr>
            <w:tcW w:w="2945" w:type="dxa"/>
          </w:tcPr>
          <w:p w:rsidR="002623AA" w:rsidRDefault="002623AA" w:rsidP="00233D1E">
            <w:pPr>
              <w:pStyle w:val="NoSpacing"/>
              <w:rPr>
                <w:rFonts w:cs="Arial"/>
                <w:szCs w:val="24"/>
              </w:rPr>
            </w:pPr>
            <w:r>
              <w:rPr>
                <w:rFonts w:cs="Arial"/>
                <w:szCs w:val="24"/>
              </w:rPr>
              <w:t xml:space="preserve">    out of which, Bengali</w:t>
            </w:r>
          </w:p>
        </w:tc>
        <w:tc>
          <w:tcPr>
            <w:tcW w:w="1753" w:type="dxa"/>
          </w:tcPr>
          <w:p w:rsidR="002623AA" w:rsidRDefault="003D6300" w:rsidP="00233D1E">
            <w:pPr>
              <w:pStyle w:val="NoSpacing"/>
              <w:jc w:val="center"/>
              <w:rPr>
                <w:rFonts w:cs="Arial"/>
                <w:szCs w:val="24"/>
              </w:rPr>
            </w:pPr>
            <w:r>
              <w:rPr>
                <w:rFonts w:cs="Arial"/>
                <w:szCs w:val="24"/>
              </w:rPr>
              <w:t>2.36</w:t>
            </w:r>
          </w:p>
        </w:tc>
        <w:tc>
          <w:tcPr>
            <w:tcW w:w="1823" w:type="dxa"/>
          </w:tcPr>
          <w:p w:rsidR="002623AA" w:rsidRDefault="003D6300" w:rsidP="00233D1E">
            <w:pPr>
              <w:pStyle w:val="NoSpacing"/>
              <w:jc w:val="center"/>
              <w:rPr>
                <w:rFonts w:cs="Arial"/>
                <w:szCs w:val="24"/>
              </w:rPr>
            </w:pPr>
            <w:r>
              <w:rPr>
                <w:rFonts w:cs="Arial"/>
                <w:szCs w:val="24"/>
              </w:rPr>
              <w:t>6.09</w:t>
            </w:r>
          </w:p>
        </w:tc>
        <w:tc>
          <w:tcPr>
            <w:tcW w:w="1951" w:type="dxa"/>
          </w:tcPr>
          <w:p w:rsidR="002623AA" w:rsidRDefault="003D6300" w:rsidP="00233D1E">
            <w:pPr>
              <w:pStyle w:val="NoSpacing"/>
              <w:jc w:val="center"/>
              <w:rPr>
                <w:rFonts w:cs="Arial"/>
                <w:szCs w:val="24"/>
              </w:rPr>
            </w:pPr>
            <w:r>
              <w:rPr>
                <w:rFonts w:cs="Arial"/>
                <w:szCs w:val="24"/>
              </w:rPr>
              <w:t>3.69</w:t>
            </w:r>
          </w:p>
        </w:tc>
        <w:tc>
          <w:tcPr>
            <w:tcW w:w="2126" w:type="dxa"/>
          </w:tcPr>
          <w:p w:rsidR="002623AA" w:rsidRDefault="003D6300" w:rsidP="00233D1E">
            <w:pPr>
              <w:pStyle w:val="NoSpacing"/>
              <w:jc w:val="center"/>
              <w:rPr>
                <w:rFonts w:cs="Arial"/>
                <w:szCs w:val="24"/>
              </w:rPr>
            </w:pPr>
            <w:r>
              <w:rPr>
                <w:rFonts w:cs="Arial"/>
                <w:szCs w:val="24"/>
              </w:rPr>
              <w:t>2.81</w:t>
            </w:r>
          </w:p>
        </w:tc>
        <w:tc>
          <w:tcPr>
            <w:tcW w:w="1853" w:type="dxa"/>
          </w:tcPr>
          <w:p w:rsidR="002623AA" w:rsidRDefault="003D6300" w:rsidP="00233D1E">
            <w:pPr>
              <w:pStyle w:val="NoSpacing"/>
              <w:jc w:val="center"/>
              <w:rPr>
                <w:rFonts w:cs="Arial"/>
                <w:szCs w:val="24"/>
              </w:rPr>
            </w:pPr>
            <w:r>
              <w:rPr>
                <w:rFonts w:cs="Arial"/>
                <w:szCs w:val="24"/>
              </w:rPr>
              <w:t>2.66</w:t>
            </w:r>
          </w:p>
        </w:tc>
        <w:tc>
          <w:tcPr>
            <w:tcW w:w="1723" w:type="dxa"/>
          </w:tcPr>
          <w:p w:rsidR="002623AA" w:rsidRDefault="003D6300" w:rsidP="00233D1E">
            <w:pPr>
              <w:pStyle w:val="NoSpacing"/>
              <w:jc w:val="center"/>
              <w:rPr>
                <w:rFonts w:cs="Arial"/>
                <w:szCs w:val="24"/>
              </w:rPr>
            </w:pPr>
            <w:r>
              <w:rPr>
                <w:rFonts w:cs="Arial"/>
                <w:szCs w:val="24"/>
              </w:rPr>
              <w:t>0.89</w:t>
            </w:r>
          </w:p>
        </w:tc>
      </w:tr>
      <w:tr w:rsidR="002623AA" w:rsidTr="006320F1">
        <w:tc>
          <w:tcPr>
            <w:tcW w:w="2945" w:type="dxa"/>
          </w:tcPr>
          <w:p w:rsidR="002623AA" w:rsidRDefault="003D6300" w:rsidP="00233D1E">
            <w:pPr>
              <w:pStyle w:val="NoSpacing"/>
              <w:rPr>
                <w:rFonts w:cs="Arial"/>
                <w:szCs w:val="24"/>
              </w:rPr>
            </w:pPr>
            <w:r>
              <w:rPr>
                <w:rFonts w:cs="Arial"/>
                <w:szCs w:val="24"/>
              </w:rPr>
              <w:t xml:space="preserve">                         </w:t>
            </w:r>
            <w:proofErr w:type="spellStart"/>
            <w:r>
              <w:rPr>
                <w:rFonts w:cs="Arial"/>
                <w:szCs w:val="24"/>
              </w:rPr>
              <w:t>Malayam</w:t>
            </w:r>
            <w:proofErr w:type="spellEnd"/>
          </w:p>
        </w:tc>
        <w:tc>
          <w:tcPr>
            <w:tcW w:w="1753" w:type="dxa"/>
          </w:tcPr>
          <w:p w:rsidR="002623AA" w:rsidRDefault="003D6300" w:rsidP="00233D1E">
            <w:pPr>
              <w:pStyle w:val="NoSpacing"/>
              <w:jc w:val="center"/>
              <w:rPr>
                <w:rFonts w:cs="Arial"/>
                <w:szCs w:val="24"/>
              </w:rPr>
            </w:pPr>
            <w:r>
              <w:rPr>
                <w:rFonts w:cs="Arial"/>
                <w:szCs w:val="24"/>
              </w:rPr>
              <w:t>1.02</w:t>
            </w:r>
          </w:p>
        </w:tc>
        <w:tc>
          <w:tcPr>
            <w:tcW w:w="1823" w:type="dxa"/>
          </w:tcPr>
          <w:p w:rsidR="002623AA" w:rsidRDefault="003D6300" w:rsidP="00233D1E">
            <w:pPr>
              <w:pStyle w:val="NoSpacing"/>
              <w:jc w:val="center"/>
              <w:rPr>
                <w:rFonts w:cs="Arial"/>
                <w:szCs w:val="24"/>
              </w:rPr>
            </w:pPr>
            <w:r>
              <w:rPr>
                <w:rFonts w:cs="Arial"/>
                <w:szCs w:val="24"/>
              </w:rPr>
              <w:t>3.55</w:t>
            </w:r>
          </w:p>
        </w:tc>
        <w:tc>
          <w:tcPr>
            <w:tcW w:w="1951" w:type="dxa"/>
          </w:tcPr>
          <w:p w:rsidR="002623AA" w:rsidRDefault="003D6300" w:rsidP="00233D1E">
            <w:pPr>
              <w:pStyle w:val="NoSpacing"/>
              <w:jc w:val="center"/>
              <w:rPr>
                <w:rFonts w:cs="Arial"/>
                <w:szCs w:val="24"/>
              </w:rPr>
            </w:pPr>
            <w:r>
              <w:rPr>
                <w:rFonts w:cs="Arial"/>
                <w:szCs w:val="24"/>
              </w:rPr>
              <w:t>1.26</w:t>
            </w:r>
          </w:p>
        </w:tc>
        <w:tc>
          <w:tcPr>
            <w:tcW w:w="2126" w:type="dxa"/>
          </w:tcPr>
          <w:p w:rsidR="002623AA" w:rsidRDefault="003D6300" w:rsidP="00233D1E">
            <w:pPr>
              <w:pStyle w:val="NoSpacing"/>
              <w:jc w:val="center"/>
              <w:rPr>
                <w:rFonts w:cs="Arial"/>
                <w:szCs w:val="24"/>
              </w:rPr>
            </w:pPr>
            <w:r>
              <w:rPr>
                <w:rFonts w:cs="Arial"/>
                <w:szCs w:val="24"/>
              </w:rPr>
              <w:t>2.73</w:t>
            </w:r>
          </w:p>
        </w:tc>
        <w:tc>
          <w:tcPr>
            <w:tcW w:w="1853" w:type="dxa"/>
          </w:tcPr>
          <w:p w:rsidR="002623AA" w:rsidRDefault="003D6300" w:rsidP="00233D1E">
            <w:pPr>
              <w:pStyle w:val="NoSpacing"/>
              <w:jc w:val="center"/>
              <w:rPr>
                <w:rFonts w:cs="Arial"/>
                <w:szCs w:val="24"/>
              </w:rPr>
            </w:pPr>
            <w:r>
              <w:rPr>
                <w:rFonts w:cs="Arial"/>
                <w:szCs w:val="24"/>
              </w:rPr>
              <w:t>3.52</w:t>
            </w:r>
          </w:p>
        </w:tc>
        <w:tc>
          <w:tcPr>
            <w:tcW w:w="1723" w:type="dxa"/>
          </w:tcPr>
          <w:p w:rsidR="002623AA" w:rsidRDefault="003D6300" w:rsidP="00233D1E">
            <w:pPr>
              <w:pStyle w:val="NoSpacing"/>
              <w:jc w:val="center"/>
              <w:rPr>
                <w:rFonts w:cs="Arial"/>
                <w:szCs w:val="24"/>
              </w:rPr>
            </w:pPr>
            <w:r>
              <w:rPr>
                <w:rFonts w:cs="Arial"/>
                <w:szCs w:val="24"/>
              </w:rPr>
              <w:t>1.21</w:t>
            </w:r>
          </w:p>
        </w:tc>
      </w:tr>
      <w:tr w:rsidR="00814C04" w:rsidTr="006320F1">
        <w:tc>
          <w:tcPr>
            <w:tcW w:w="2945" w:type="dxa"/>
          </w:tcPr>
          <w:p w:rsidR="00814C04" w:rsidRDefault="00814C04" w:rsidP="00233D1E">
            <w:pPr>
              <w:pStyle w:val="NoSpacing"/>
              <w:rPr>
                <w:rFonts w:cs="Arial"/>
                <w:szCs w:val="24"/>
              </w:rPr>
            </w:pPr>
            <w:r>
              <w:rPr>
                <w:rFonts w:cs="Arial"/>
                <w:szCs w:val="24"/>
              </w:rPr>
              <w:t>African languages</w:t>
            </w:r>
          </w:p>
        </w:tc>
        <w:tc>
          <w:tcPr>
            <w:tcW w:w="1753" w:type="dxa"/>
          </w:tcPr>
          <w:p w:rsidR="00814C04" w:rsidRDefault="008F015A" w:rsidP="00233D1E">
            <w:pPr>
              <w:pStyle w:val="NoSpacing"/>
              <w:jc w:val="center"/>
              <w:rPr>
                <w:rFonts w:cs="Arial"/>
                <w:szCs w:val="24"/>
              </w:rPr>
            </w:pPr>
            <w:r>
              <w:rPr>
                <w:rFonts w:cs="Arial"/>
                <w:szCs w:val="24"/>
              </w:rPr>
              <w:t>0.7</w:t>
            </w:r>
          </w:p>
        </w:tc>
        <w:tc>
          <w:tcPr>
            <w:tcW w:w="1823" w:type="dxa"/>
          </w:tcPr>
          <w:p w:rsidR="00814C04" w:rsidRDefault="008F015A" w:rsidP="00233D1E">
            <w:pPr>
              <w:pStyle w:val="NoSpacing"/>
              <w:jc w:val="center"/>
              <w:rPr>
                <w:rFonts w:cs="Arial"/>
                <w:szCs w:val="24"/>
              </w:rPr>
            </w:pPr>
            <w:r>
              <w:rPr>
                <w:rFonts w:cs="Arial"/>
                <w:szCs w:val="24"/>
              </w:rPr>
              <w:t>0.73</w:t>
            </w:r>
          </w:p>
        </w:tc>
        <w:tc>
          <w:tcPr>
            <w:tcW w:w="1951" w:type="dxa"/>
          </w:tcPr>
          <w:p w:rsidR="00814C04" w:rsidRDefault="008F015A" w:rsidP="00233D1E">
            <w:pPr>
              <w:pStyle w:val="NoSpacing"/>
              <w:jc w:val="center"/>
              <w:rPr>
                <w:rFonts w:cs="Arial"/>
                <w:szCs w:val="24"/>
              </w:rPr>
            </w:pPr>
            <w:r>
              <w:rPr>
                <w:rFonts w:cs="Arial"/>
                <w:szCs w:val="24"/>
              </w:rPr>
              <w:t>0.83</w:t>
            </w:r>
          </w:p>
        </w:tc>
        <w:tc>
          <w:tcPr>
            <w:tcW w:w="2126" w:type="dxa"/>
          </w:tcPr>
          <w:p w:rsidR="00814C04" w:rsidRDefault="008F015A" w:rsidP="00233D1E">
            <w:pPr>
              <w:pStyle w:val="NoSpacing"/>
              <w:jc w:val="center"/>
              <w:rPr>
                <w:rFonts w:cs="Arial"/>
                <w:szCs w:val="24"/>
              </w:rPr>
            </w:pPr>
            <w:r>
              <w:rPr>
                <w:rFonts w:cs="Arial"/>
                <w:szCs w:val="24"/>
              </w:rPr>
              <w:t>1.32</w:t>
            </w:r>
          </w:p>
        </w:tc>
        <w:tc>
          <w:tcPr>
            <w:tcW w:w="1853" w:type="dxa"/>
          </w:tcPr>
          <w:p w:rsidR="00814C04" w:rsidRDefault="008F015A" w:rsidP="00233D1E">
            <w:pPr>
              <w:pStyle w:val="NoSpacing"/>
              <w:jc w:val="center"/>
              <w:rPr>
                <w:rFonts w:cs="Arial"/>
                <w:szCs w:val="24"/>
              </w:rPr>
            </w:pPr>
            <w:r>
              <w:rPr>
                <w:rFonts w:cs="Arial"/>
                <w:szCs w:val="24"/>
              </w:rPr>
              <w:t>1.4</w:t>
            </w:r>
          </w:p>
        </w:tc>
        <w:tc>
          <w:tcPr>
            <w:tcW w:w="1723" w:type="dxa"/>
          </w:tcPr>
          <w:p w:rsidR="00814C04" w:rsidRDefault="00814C04" w:rsidP="00233D1E">
            <w:pPr>
              <w:pStyle w:val="NoSpacing"/>
              <w:jc w:val="center"/>
              <w:rPr>
                <w:rFonts w:cs="Arial"/>
                <w:szCs w:val="24"/>
              </w:rPr>
            </w:pPr>
            <w:r>
              <w:rPr>
                <w:rFonts w:cs="Arial"/>
                <w:szCs w:val="24"/>
              </w:rPr>
              <w:t>0.96</w:t>
            </w:r>
          </w:p>
        </w:tc>
      </w:tr>
      <w:tr w:rsidR="00814C04" w:rsidTr="006320F1">
        <w:tc>
          <w:tcPr>
            <w:tcW w:w="2945" w:type="dxa"/>
          </w:tcPr>
          <w:p w:rsidR="00814C04" w:rsidRDefault="00814C04" w:rsidP="00233D1E">
            <w:pPr>
              <w:pStyle w:val="NoSpacing"/>
              <w:rPr>
                <w:rFonts w:cs="Arial"/>
                <w:szCs w:val="24"/>
              </w:rPr>
            </w:pPr>
          </w:p>
        </w:tc>
        <w:tc>
          <w:tcPr>
            <w:tcW w:w="1753" w:type="dxa"/>
          </w:tcPr>
          <w:p w:rsidR="00814C04" w:rsidRDefault="00814C04" w:rsidP="00233D1E">
            <w:pPr>
              <w:pStyle w:val="NoSpacing"/>
              <w:jc w:val="center"/>
              <w:rPr>
                <w:rFonts w:cs="Arial"/>
                <w:szCs w:val="24"/>
              </w:rPr>
            </w:pPr>
          </w:p>
        </w:tc>
        <w:tc>
          <w:tcPr>
            <w:tcW w:w="1823" w:type="dxa"/>
          </w:tcPr>
          <w:p w:rsidR="00814C04" w:rsidRDefault="00814C04" w:rsidP="00233D1E">
            <w:pPr>
              <w:pStyle w:val="NoSpacing"/>
              <w:jc w:val="center"/>
              <w:rPr>
                <w:rFonts w:cs="Arial"/>
                <w:szCs w:val="24"/>
              </w:rPr>
            </w:pPr>
          </w:p>
        </w:tc>
        <w:tc>
          <w:tcPr>
            <w:tcW w:w="1951" w:type="dxa"/>
          </w:tcPr>
          <w:p w:rsidR="00814C04" w:rsidRDefault="00814C04" w:rsidP="00233D1E">
            <w:pPr>
              <w:pStyle w:val="NoSpacing"/>
              <w:jc w:val="center"/>
              <w:rPr>
                <w:rFonts w:cs="Arial"/>
                <w:szCs w:val="24"/>
              </w:rPr>
            </w:pPr>
          </w:p>
        </w:tc>
        <w:tc>
          <w:tcPr>
            <w:tcW w:w="2126" w:type="dxa"/>
          </w:tcPr>
          <w:p w:rsidR="00814C04" w:rsidRDefault="00814C04" w:rsidP="00233D1E">
            <w:pPr>
              <w:pStyle w:val="NoSpacing"/>
              <w:jc w:val="center"/>
              <w:rPr>
                <w:rFonts w:cs="Arial"/>
                <w:szCs w:val="24"/>
              </w:rPr>
            </w:pPr>
          </w:p>
        </w:tc>
        <w:tc>
          <w:tcPr>
            <w:tcW w:w="1853" w:type="dxa"/>
          </w:tcPr>
          <w:p w:rsidR="00814C04" w:rsidRDefault="00814C04" w:rsidP="00233D1E">
            <w:pPr>
              <w:pStyle w:val="NoSpacing"/>
              <w:jc w:val="center"/>
              <w:rPr>
                <w:rFonts w:cs="Arial"/>
                <w:szCs w:val="24"/>
              </w:rPr>
            </w:pPr>
          </w:p>
        </w:tc>
        <w:tc>
          <w:tcPr>
            <w:tcW w:w="1723" w:type="dxa"/>
          </w:tcPr>
          <w:p w:rsidR="00814C04" w:rsidRDefault="00814C04" w:rsidP="00233D1E">
            <w:pPr>
              <w:pStyle w:val="NoSpacing"/>
              <w:jc w:val="center"/>
              <w:rPr>
                <w:rFonts w:cs="Arial"/>
                <w:szCs w:val="24"/>
              </w:rPr>
            </w:pPr>
          </w:p>
        </w:tc>
      </w:tr>
      <w:tr w:rsidR="00814C04" w:rsidTr="006320F1">
        <w:tc>
          <w:tcPr>
            <w:tcW w:w="2945" w:type="dxa"/>
          </w:tcPr>
          <w:p w:rsidR="00814C04" w:rsidRDefault="00814C04" w:rsidP="00233D1E">
            <w:pPr>
              <w:pStyle w:val="NoSpacing"/>
              <w:rPr>
                <w:rFonts w:cs="Arial"/>
                <w:szCs w:val="24"/>
              </w:rPr>
            </w:pPr>
            <w:r w:rsidRPr="00814C04">
              <w:rPr>
                <w:rFonts w:cs="Arial"/>
                <w:szCs w:val="24"/>
              </w:rPr>
              <w:t>Not able to speak English</w:t>
            </w:r>
            <w:r>
              <w:rPr>
                <w:rFonts w:cs="Arial"/>
                <w:szCs w:val="24"/>
              </w:rPr>
              <w:t xml:space="preserve"> well or at all</w:t>
            </w:r>
          </w:p>
        </w:tc>
        <w:tc>
          <w:tcPr>
            <w:tcW w:w="1753" w:type="dxa"/>
          </w:tcPr>
          <w:p w:rsidR="00814C04" w:rsidRDefault="008F015A" w:rsidP="00233D1E">
            <w:pPr>
              <w:pStyle w:val="NoSpacing"/>
              <w:jc w:val="center"/>
              <w:rPr>
                <w:rFonts w:cs="Arial"/>
                <w:szCs w:val="24"/>
              </w:rPr>
            </w:pPr>
            <w:r>
              <w:rPr>
                <w:rFonts w:cs="Arial"/>
                <w:szCs w:val="24"/>
              </w:rPr>
              <w:t>6.36</w:t>
            </w:r>
          </w:p>
        </w:tc>
        <w:tc>
          <w:tcPr>
            <w:tcW w:w="1823" w:type="dxa"/>
          </w:tcPr>
          <w:p w:rsidR="00814C04" w:rsidRDefault="008F015A" w:rsidP="00233D1E">
            <w:pPr>
              <w:pStyle w:val="NoSpacing"/>
              <w:jc w:val="center"/>
              <w:rPr>
                <w:rFonts w:cs="Arial"/>
                <w:szCs w:val="24"/>
              </w:rPr>
            </w:pPr>
            <w:r>
              <w:rPr>
                <w:rFonts w:cs="Arial"/>
                <w:szCs w:val="24"/>
              </w:rPr>
              <w:t>7.9</w:t>
            </w:r>
          </w:p>
        </w:tc>
        <w:tc>
          <w:tcPr>
            <w:tcW w:w="1951" w:type="dxa"/>
          </w:tcPr>
          <w:p w:rsidR="00814C04" w:rsidRDefault="008F015A" w:rsidP="00233D1E">
            <w:pPr>
              <w:pStyle w:val="NoSpacing"/>
              <w:jc w:val="center"/>
              <w:rPr>
                <w:rFonts w:cs="Arial"/>
                <w:szCs w:val="24"/>
              </w:rPr>
            </w:pPr>
            <w:r>
              <w:rPr>
                <w:rFonts w:cs="Arial"/>
                <w:szCs w:val="24"/>
              </w:rPr>
              <w:t>5.12</w:t>
            </w:r>
          </w:p>
        </w:tc>
        <w:tc>
          <w:tcPr>
            <w:tcW w:w="2126" w:type="dxa"/>
          </w:tcPr>
          <w:p w:rsidR="00814C04" w:rsidRDefault="008F015A" w:rsidP="00233D1E">
            <w:pPr>
              <w:pStyle w:val="NoSpacing"/>
              <w:jc w:val="center"/>
              <w:rPr>
                <w:rFonts w:cs="Arial"/>
                <w:szCs w:val="24"/>
              </w:rPr>
            </w:pPr>
            <w:r>
              <w:rPr>
                <w:rFonts w:cs="Arial"/>
                <w:szCs w:val="24"/>
              </w:rPr>
              <w:t>6.11</w:t>
            </w:r>
          </w:p>
        </w:tc>
        <w:tc>
          <w:tcPr>
            <w:tcW w:w="1853" w:type="dxa"/>
          </w:tcPr>
          <w:p w:rsidR="00814C04" w:rsidRDefault="008F015A" w:rsidP="00233D1E">
            <w:pPr>
              <w:pStyle w:val="NoSpacing"/>
              <w:jc w:val="center"/>
              <w:rPr>
                <w:rFonts w:cs="Arial"/>
                <w:szCs w:val="24"/>
              </w:rPr>
            </w:pPr>
            <w:r>
              <w:rPr>
                <w:rFonts w:cs="Arial"/>
                <w:szCs w:val="24"/>
              </w:rPr>
              <w:t>4.75</w:t>
            </w:r>
          </w:p>
        </w:tc>
        <w:tc>
          <w:tcPr>
            <w:tcW w:w="1723" w:type="dxa"/>
          </w:tcPr>
          <w:p w:rsidR="00814C04" w:rsidRDefault="00814C04" w:rsidP="00233D1E">
            <w:pPr>
              <w:pStyle w:val="NoSpacing"/>
              <w:jc w:val="center"/>
              <w:rPr>
                <w:rFonts w:cs="Arial"/>
                <w:szCs w:val="24"/>
              </w:rPr>
            </w:pPr>
            <w:r>
              <w:rPr>
                <w:rFonts w:cs="Arial"/>
                <w:szCs w:val="24"/>
              </w:rPr>
              <w:t>2.32</w:t>
            </w:r>
          </w:p>
        </w:tc>
      </w:tr>
    </w:tbl>
    <w:p w:rsidR="002C2ECD" w:rsidRDefault="002C2ECD">
      <w:r>
        <w:br w:type="page"/>
      </w:r>
    </w:p>
    <w:tbl>
      <w:tblPr>
        <w:tblStyle w:val="TableGrid"/>
        <w:tblW w:w="14174" w:type="dxa"/>
        <w:tblLook w:val="04A0"/>
      </w:tblPr>
      <w:tblGrid>
        <w:gridCol w:w="2945"/>
        <w:gridCol w:w="1753"/>
        <w:gridCol w:w="1823"/>
        <w:gridCol w:w="1951"/>
        <w:gridCol w:w="2126"/>
        <w:gridCol w:w="1853"/>
        <w:gridCol w:w="1723"/>
      </w:tblGrid>
      <w:tr w:rsidR="00814C04" w:rsidTr="00233D1E">
        <w:tc>
          <w:tcPr>
            <w:tcW w:w="14174" w:type="dxa"/>
            <w:gridSpan w:val="7"/>
          </w:tcPr>
          <w:p w:rsidR="00814C04" w:rsidRDefault="00814C04" w:rsidP="00233D1E">
            <w:pPr>
              <w:pStyle w:val="NoSpacing"/>
              <w:rPr>
                <w:rFonts w:cs="Arial"/>
                <w:szCs w:val="24"/>
              </w:rPr>
            </w:pPr>
          </w:p>
          <w:p w:rsidR="00814C04" w:rsidRPr="006320F1" w:rsidRDefault="00814C04" w:rsidP="006320F1">
            <w:pPr>
              <w:pStyle w:val="NoSpacing"/>
              <w:rPr>
                <w:rFonts w:cs="Arial"/>
                <w:b/>
                <w:i/>
                <w:szCs w:val="24"/>
              </w:rPr>
            </w:pPr>
            <w:r w:rsidRPr="006320F1">
              <w:rPr>
                <w:rFonts w:cs="Arial"/>
                <w:b/>
                <w:i/>
                <w:szCs w:val="24"/>
              </w:rPr>
              <w:t>Religion</w:t>
            </w:r>
          </w:p>
        </w:tc>
      </w:tr>
      <w:tr w:rsidR="00814C04" w:rsidTr="006320F1">
        <w:tc>
          <w:tcPr>
            <w:tcW w:w="2945" w:type="dxa"/>
          </w:tcPr>
          <w:p w:rsidR="00814C04" w:rsidRDefault="0011730E" w:rsidP="00233D1E">
            <w:pPr>
              <w:pStyle w:val="NoSpacing"/>
              <w:rPr>
                <w:rFonts w:cs="Arial"/>
                <w:szCs w:val="24"/>
              </w:rPr>
            </w:pPr>
            <w:r>
              <w:rPr>
                <w:rFonts w:cs="Arial"/>
                <w:szCs w:val="24"/>
              </w:rPr>
              <w:t>Christian</w:t>
            </w:r>
          </w:p>
        </w:tc>
        <w:tc>
          <w:tcPr>
            <w:tcW w:w="1753" w:type="dxa"/>
          </w:tcPr>
          <w:p w:rsidR="00814C04" w:rsidRDefault="008F015A" w:rsidP="00233D1E">
            <w:pPr>
              <w:pStyle w:val="NoSpacing"/>
              <w:jc w:val="center"/>
              <w:rPr>
                <w:rFonts w:cs="Arial"/>
                <w:szCs w:val="24"/>
              </w:rPr>
            </w:pPr>
            <w:r>
              <w:rPr>
                <w:rFonts w:cs="Arial"/>
                <w:szCs w:val="24"/>
              </w:rPr>
              <w:t>44.7</w:t>
            </w:r>
          </w:p>
        </w:tc>
        <w:tc>
          <w:tcPr>
            <w:tcW w:w="1823" w:type="dxa"/>
          </w:tcPr>
          <w:p w:rsidR="00814C04" w:rsidRDefault="008F015A" w:rsidP="00233D1E">
            <w:pPr>
              <w:pStyle w:val="NoSpacing"/>
              <w:jc w:val="center"/>
              <w:rPr>
                <w:rFonts w:cs="Arial"/>
                <w:szCs w:val="24"/>
              </w:rPr>
            </w:pPr>
            <w:r>
              <w:rPr>
                <w:rFonts w:cs="Arial"/>
                <w:szCs w:val="24"/>
              </w:rPr>
              <w:t>42.99</w:t>
            </w:r>
          </w:p>
        </w:tc>
        <w:tc>
          <w:tcPr>
            <w:tcW w:w="1951" w:type="dxa"/>
          </w:tcPr>
          <w:p w:rsidR="00814C04" w:rsidRDefault="008F015A" w:rsidP="00233D1E">
            <w:pPr>
              <w:pStyle w:val="NoSpacing"/>
              <w:jc w:val="center"/>
              <w:rPr>
                <w:rFonts w:cs="Arial"/>
                <w:szCs w:val="24"/>
              </w:rPr>
            </w:pPr>
            <w:r>
              <w:rPr>
                <w:rFonts w:cs="Arial"/>
                <w:szCs w:val="24"/>
              </w:rPr>
              <w:t>51.04</w:t>
            </w:r>
          </w:p>
        </w:tc>
        <w:tc>
          <w:tcPr>
            <w:tcW w:w="2126" w:type="dxa"/>
          </w:tcPr>
          <w:p w:rsidR="00814C04" w:rsidRDefault="008F015A" w:rsidP="00233D1E">
            <w:pPr>
              <w:pStyle w:val="NoSpacing"/>
              <w:jc w:val="center"/>
              <w:rPr>
                <w:rFonts w:cs="Arial"/>
                <w:szCs w:val="24"/>
              </w:rPr>
            </w:pPr>
            <w:r>
              <w:rPr>
                <w:rFonts w:cs="Arial"/>
                <w:szCs w:val="24"/>
              </w:rPr>
              <w:t>51.52</w:t>
            </w:r>
          </w:p>
        </w:tc>
        <w:tc>
          <w:tcPr>
            <w:tcW w:w="1853" w:type="dxa"/>
          </w:tcPr>
          <w:p w:rsidR="00814C04" w:rsidRDefault="008F015A" w:rsidP="00233D1E">
            <w:pPr>
              <w:pStyle w:val="NoSpacing"/>
              <w:jc w:val="center"/>
              <w:rPr>
                <w:rFonts w:cs="Arial"/>
                <w:szCs w:val="24"/>
              </w:rPr>
            </w:pPr>
            <w:r>
              <w:rPr>
                <w:rFonts w:cs="Arial"/>
                <w:szCs w:val="24"/>
              </w:rPr>
              <w:t>55.39</w:t>
            </w:r>
          </w:p>
        </w:tc>
        <w:tc>
          <w:tcPr>
            <w:tcW w:w="1723" w:type="dxa"/>
          </w:tcPr>
          <w:p w:rsidR="00814C04" w:rsidRDefault="008F015A" w:rsidP="00233D1E">
            <w:pPr>
              <w:pStyle w:val="NoSpacing"/>
              <w:jc w:val="center"/>
              <w:rPr>
                <w:rFonts w:cs="Arial"/>
                <w:szCs w:val="24"/>
              </w:rPr>
            </w:pPr>
            <w:r>
              <w:rPr>
                <w:rFonts w:cs="Arial"/>
                <w:szCs w:val="24"/>
              </w:rPr>
              <w:t>55.56</w:t>
            </w:r>
          </w:p>
        </w:tc>
      </w:tr>
      <w:tr w:rsidR="00814C04" w:rsidTr="006320F1">
        <w:tc>
          <w:tcPr>
            <w:tcW w:w="2945" w:type="dxa"/>
          </w:tcPr>
          <w:p w:rsidR="00814C04" w:rsidRDefault="0011730E" w:rsidP="00233D1E">
            <w:pPr>
              <w:pStyle w:val="NoSpacing"/>
              <w:rPr>
                <w:rFonts w:cs="Arial"/>
                <w:szCs w:val="24"/>
              </w:rPr>
            </w:pPr>
            <w:r>
              <w:rPr>
                <w:rFonts w:cs="Arial"/>
                <w:szCs w:val="24"/>
              </w:rPr>
              <w:t>Buddhist</w:t>
            </w:r>
          </w:p>
        </w:tc>
        <w:tc>
          <w:tcPr>
            <w:tcW w:w="1753" w:type="dxa"/>
          </w:tcPr>
          <w:p w:rsidR="00814C04" w:rsidRDefault="008F015A" w:rsidP="00233D1E">
            <w:pPr>
              <w:pStyle w:val="NoSpacing"/>
              <w:jc w:val="center"/>
              <w:rPr>
                <w:rFonts w:cs="Arial"/>
                <w:szCs w:val="24"/>
              </w:rPr>
            </w:pPr>
            <w:r>
              <w:rPr>
                <w:rFonts w:cs="Arial"/>
                <w:szCs w:val="24"/>
              </w:rPr>
              <w:t>0.6</w:t>
            </w:r>
          </w:p>
        </w:tc>
        <w:tc>
          <w:tcPr>
            <w:tcW w:w="1823" w:type="dxa"/>
          </w:tcPr>
          <w:p w:rsidR="00814C04" w:rsidRDefault="008F015A" w:rsidP="00233D1E">
            <w:pPr>
              <w:pStyle w:val="NoSpacing"/>
              <w:jc w:val="center"/>
              <w:rPr>
                <w:rFonts w:cs="Arial"/>
                <w:szCs w:val="24"/>
              </w:rPr>
            </w:pPr>
            <w:r>
              <w:rPr>
                <w:rFonts w:cs="Arial"/>
                <w:szCs w:val="24"/>
              </w:rPr>
              <w:t>0.38</w:t>
            </w:r>
          </w:p>
        </w:tc>
        <w:tc>
          <w:tcPr>
            <w:tcW w:w="1951" w:type="dxa"/>
          </w:tcPr>
          <w:p w:rsidR="00814C04" w:rsidRDefault="008F015A" w:rsidP="00233D1E">
            <w:pPr>
              <w:pStyle w:val="NoSpacing"/>
              <w:jc w:val="center"/>
              <w:rPr>
                <w:rFonts w:cs="Arial"/>
                <w:szCs w:val="24"/>
              </w:rPr>
            </w:pPr>
            <w:r>
              <w:rPr>
                <w:rFonts w:cs="Arial"/>
                <w:szCs w:val="24"/>
              </w:rPr>
              <w:t>1.06</w:t>
            </w:r>
          </w:p>
        </w:tc>
        <w:tc>
          <w:tcPr>
            <w:tcW w:w="2126" w:type="dxa"/>
          </w:tcPr>
          <w:p w:rsidR="00814C04" w:rsidRDefault="008F015A" w:rsidP="00233D1E">
            <w:pPr>
              <w:pStyle w:val="NoSpacing"/>
              <w:jc w:val="center"/>
              <w:rPr>
                <w:rFonts w:cs="Arial"/>
                <w:szCs w:val="24"/>
              </w:rPr>
            </w:pPr>
            <w:r>
              <w:rPr>
                <w:rFonts w:cs="Arial"/>
                <w:szCs w:val="24"/>
              </w:rPr>
              <w:t>0.52</w:t>
            </w:r>
          </w:p>
        </w:tc>
        <w:tc>
          <w:tcPr>
            <w:tcW w:w="1853" w:type="dxa"/>
          </w:tcPr>
          <w:p w:rsidR="00814C04" w:rsidRDefault="008F015A" w:rsidP="00233D1E">
            <w:pPr>
              <w:pStyle w:val="NoSpacing"/>
              <w:jc w:val="center"/>
              <w:rPr>
                <w:rFonts w:cs="Arial"/>
                <w:szCs w:val="24"/>
              </w:rPr>
            </w:pPr>
            <w:r>
              <w:rPr>
                <w:rFonts w:cs="Arial"/>
                <w:szCs w:val="24"/>
              </w:rPr>
              <w:t>0.4</w:t>
            </w:r>
          </w:p>
        </w:tc>
        <w:tc>
          <w:tcPr>
            <w:tcW w:w="1723" w:type="dxa"/>
          </w:tcPr>
          <w:p w:rsidR="00814C04" w:rsidRDefault="008F015A" w:rsidP="00233D1E">
            <w:pPr>
              <w:pStyle w:val="NoSpacing"/>
              <w:jc w:val="center"/>
              <w:rPr>
                <w:rFonts w:cs="Arial"/>
                <w:szCs w:val="24"/>
              </w:rPr>
            </w:pPr>
            <w:r>
              <w:rPr>
                <w:rFonts w:cs="Arial"/>
                <w:szCs w:val="24"/>
              </w:rPr>
              <w:t>0.43</w:t>
            </w:r>
          </w:p>
        </w:tc>
      </w:tr>
      <w:tr w:rsidR="00814C04" w:rsidTr="006320F1">
        <w:tc>
          <w:tcPr>
            <w:tcW w:w="2945" w:type="dxa"/>
          </w:tcPr>
          <w:p w:rsidR="00814C04" w:rsidRDefault="0011730E" w:rsidP="00233D1E">
            <w:pPr>
              <w:pStyle w:val="NoSpacing"/>
              <w:rPr>
                <w:rFonts w:cs="Arial"/>
                <w:szCs w:val="24"/>
              </w:rPr>
            </w:pPr>
            <w:r>
              <w:rPr>
                <w:rFonts w:cs="Arial"/>
                <w:szCs w:val="24"/>
              </w:rPr>
              <w:t>Hindi</w:t>
            </w:r>
          </w:p>
        </w:tc>
        <w:tc>
          <w:tcPr>
            <w:tcW w:w="1753" w:type="dxa"/>
          </w:tcPr>
          <w:p w:rsidR="00814C04" w:rsidRDefault="008F015A" w:rsidP="00233D1E">
            <w:pPr>
              <w:pStyle w:val="NoSpacing"/>
              <w:jc w:val="center"/>
              <w:rPr>
                <w:rFonts w:cs="Arial"/>
                <w:szCs w:val="24"/>
              </w:rPr>
            </w:pPr>
            <w:r>
              <w:rPr>
                <w:rFonts w:cs="Arial"/>
                <w:szCs w:val="24"/>
              </w:rPr>
              <w:t>2.18</w:t>
            </w:r>
          </w:p>
        </w:tc>
        <w:tc>
          <w:tcPr>
            <w:tcW w:w="1823" w:type="dxa"/>
          </w:tcPr>
          <w:p w:rsidR="00814C04" w:rsidRDefault="008F015A" w:rsidP="00233D1E">
            <w:pPr>
              <w:pStyle w:val="NoSpacing"/>
              <w:jc w:val="center"/>
              <w:rPr>
                <w:rFonts w:cs="Arial"/>
                <w:szCs w:val="24"/>
              </w:rPr>
            </w:pPr>
            <w:r>
              <w:rPr>
                <w:rFonts w:cs="Arial"/>
                <w:szCs w:val="24"/>
              </w:rPr>
              <w:t>2.15</w:t>
            </w:r>
          </w:p>
        </w:tc>
        <w:tc>
          <w:tcPr>
            <w:tcW w:w="1951" w:type="dxa"/>
          </w:tcPr>
          <w:p w:rsidR="00814C04" w:rsidRDefault="008F015A" w:rsidP="00233D1E">
            <w:pPr>
              <w:pStyle w:val="NoSpacing"/>
              <w:jc w:val="center"/>
              <w:rPr>
                <w:rFonts w:cs="Arial"/>
                <w:szCs w:val="24"/>
              </w:rPr>
            </w:pPr>
            <w:r>
              <w:rPr>
                <w:rFonts w:cs="Arial"/>
                <w:szCs w:val="24"/>
              </w:rPr>
              <w:t>2.7</w:t>
            </w:r>
          </w:p>
        </w:tc>
        <w:tc>
          <w:tcPr>
            <w:tcW w:w="2126" w:type="dxa"/>
          </w:tcPr>
          <w:p w:rsidR="00814C04" w:rsidRDefault="008F015A" w:rsidP="00233D1E">
            <w:pPr>
              <w:pStyle w:val="NoSpacing"/>
              <w:jc w:val="center"/>
              <w:rPr>
                <w:rFonts w:cs="Arial"/>
                <w:szCs w:val="24"/>
              </w:rPr>
            </w:pPr>
            <w:r>
              <w:rPr>
                <w:rFonts w:cs="Arial"/>
                <w:szCs w:val="24"/>
              </w:rPr>
              <w:t>0.99</w:t>
            </w:r>
          </w:p>
        </w:tc>
        <w:tc>
          <w:tcPr>
            <w:tcW w:w="1853" w:type="dxa"/>
          </w:tcPr>
          <w:p w:rsidR="00814C04" w:rsidRDefault="008F015A" w:rsidP="00233D1E">
            <w:pPr>
              <w:pStyle w:val="NoSpacing"/>
              <w:jc w:val="center"/>
              <w:rPr>
                <w:rFonts w:cs="Arial"/>
                <w:szCs w:val="24"/>
              </w:rPr>
            </w:pPr>
            <w:r>
              <w:rPr>
                <w:rFonts w:cs="Arial"/>
                <w:szCs w:val="24"/>
              </w:rPr>
              <w:t>1.97</w:t>
            </w:r>
          </w:p>
        </w:tc>
        <w:tc>
          <w:tcPr>
            <w:tcW w:w="1723" w:type="dxa"/>
          </w:tcPr>
          <w:p w:rsidR="00814C04" w:rsidRDefault="008F015A" w:rsidP="00233D1E">
            <w:pPr>
              <w:pStyle w:val="NoSpacing"/>
              <w:jc w:val="center"/>
              <w:rPr>
                <w:rFonts w:cs="Arial"/>
                <w:szCs w:val="24"/>
              </w:rPr>
            </w:pPr>
            <w:r>
              <w:rPr>
                <w:rFonts w:cs="Arial"/>
                <w:szCs w:val="24"/>
              </w:rPr>
              <w:t>1.6</w:t>
            </w:r>
          </w:p>
        </w:tc>
      </w:tr>
      <w:tr w:rsidR="0011730E" w:rsidTr="006320F1">
        <w:tc>
          <w:tcPr>
            <w:tcW w:w="2945" w:type="dxa"/>
          </w:tcPr>
          <w:p w:rsidR="0011730E" w:rsidRDefault="0011730E" w:rsidP="00233D1E">
            <w:pPr>
              <w:pStyle w:val="NoSpacing"/>
              <w:rPr>
                <w:rFonts w:cs="Arial"/>
                <w:szCs w:val="24"/>
              </w:rPr>
            </w:pPr>
            <w:r>
              <w:rPr>
                <w:rFonts w:cs="Arial"/>
                <w:szCs w:val="24"/>
              </w:rPr>
              <w:t>Jewish</w:t>
            </w:r>
          </w:p>
        </w:tc>
        <w:tc>
          <w:tcPr>
            <w:tcW w:w="1753" w:type="dxa"/>
          </w:tcPr>
          <w:p w:rsidR="0011730E" w:rsidRDefault="008F015A" w:rsidP="00233D1E">
            <w:pPr>
              <w:pStyle w:val="NoSpacing"/>
              <w:jc w:val="center"/>
              <w:rPr>
                <w:rFonts w:cs="Arial"/>
                <w:szCs w:val="24"/>
              </w:rPr>
            </w:pPr>
            <w:r>
              <w:rPr>
                <w:rFonts w:cs="Arial"/>
                <w:szCs w:val="24"/>
              </w:rPr>
              <w:t>0.18</w:t>
            </w:r>
          </w:p>
        </w:tc>
        <w:tc>
          <w:tcPr>
            <w:tcW w:w="1823" w:type="dxa"/>
          </w:tcPr>
          <w:p w:rsidR="0011730E" w:rsidRDefault="008F015A" w:rsidP="00233D1E">
            <w:pPr>
              <w:pStyle w:val="NoSpacing"/>
              <w:jc w:val="center"/>
              <w:rPr>
                <w:rFonts w:cs="Arial"/>
                <w:szCs w:val="24"/>
              </w:rPr>
            </w:pPr>
            <w:r>
              <w:rPr>
                <w:rFonts w:cs="Arial"/>
                <w:szCs w:val="24"/>
              </w:rPr>
              <w:t>0</w:t>
            </w:r>
          </w:p>
        </w:tc>
        <w:tc>
          <w:tcPr>
            <w:tcW w:w="1951" w:type="dxa"/>
          </w:tcPr>
          <w:p w:rsidR="0011730E" w:rsidRDefault="008F015A" w:rsidP="00233D1E">
            <w:pPr>
              <w:pStyle w:val="NoSpacing"/>
              <w:jc w:val="center"/>
              <w:rPr>
                <w:rFonts w:cs="Arial"/>
                <w:szCs w:val="24"/>
              </w:rPr>
            </w:pPr>
            <w:r>
              <w:rPr>
                <w:rFonts w:cs="Arial"/>
                <w:szCs w:val="24"/>
              </w:rPr>
              <w:t>0.22</w:t>
            </w:r>
          </w:p>
        </w:tc>
        <w:tc>
          <w:tcPr>
            <w:tcW w:w="2126" w:type="dxa"/>
          </w:tcPr>
          <w:p w:rsidR="0011730E" w:rsidRDefault="008F015A" w:rsidP="00233D1E">
            <w:pPr>
              <w:pStyle w:val="NoSpacing"/>
              <w:jc w:val="center"/>
              <w:rPr>
                <w:rFonts w:cs="Arial"/>
                <w:szCs w:val="24"/>
              </w:rPr>
            </w:pPr>
            <w:r>
              <w:rPr>
                <w:rFonts w:cs="Arial"/>
                <w:szCs w:val="24"/>
              </w:rPr>
              <w:t>0.21</w:t>
            </w:r>
          </w:p>
        </w:tc>
        <w:tc>
          <w:tcPr>
            <w:tcW w:w="1853" w:type="dxa"/>
          </w:tcPr>
          <w:p w:rsidR="0011730E" w:rsidRDefault="008F015A" w:rsidP="00233D1E">
            <w:pPr>
              <w:pStyle w:val="NoSpacing"/>
              <w:jc w:val="center"/>
              <w:rPr>
                <w:rFonts w:cs="Arial"/>
                <w:szCs w:val="24"/>
              </w:rPr>
            </w:pPr>
            <w:r>
              <w:rPr>
                <w:rFonts w:cs="Arial"/>
                <w:szCs w:val="24"/>
              </w:rPr>
              <w:t>0.12</w:t>
            </w:r>
          </w:p>
        </w:tc>
        <w:tc>
          <w:tcPr>
            <w:tcW w:w="1723" w:type="dxa"/>
          </w:tcPr>
          <w:p w:rsidR="0011730E" w:rsidRDefault="008F015A" w:rsidP="00233D1E">
            <w:pPr>
              <w:pStyle w:val="NoSpacing"/>
              <w:jc w:val="center"/>
              <w:rPr>
                <w:rFonts w:cs="Arial"/>
                <w:szCs w:val="24"/>
              </w:rPr>
            </w:pPr>
            <w:r>
              <w:rPr>
                <w:rFonts w:cs="Arial"/>
                <w:szCs w:val="24"/>
              </w:rPr>
              <w:t>0.13</w:t>
            </w:r>
          </w:p>
        </w:tc>
      </w:tr>
      <w:tr w:rsidR="00814C04" w:rsidTr="006320F1">
        <w:tc>
          <w:tcPr>
            <w:tcW w:w="2945" w:type="dxa"/>
          </w:tcPr>
          <w:p w:rsidR="00814C04" w:rsidRDefault="0011730E" w:rsidP="00233D1E">
            <w:pPr>
              <w:pStyle w:val="NoSpacing"/>
              <w:rPr>
                <w:rFonts w:cs="Arial"/>
                <w:szCs w:val="24"/>
              </w:rPr>
            </w:pPr>
            <w:r>
              <w:rPr>
                <w:rFonts w:cs="Arial"/>
                <w:szCs w:val="24"/>
              </w:rPr>
              <w:t>Muslim</w:t>
            </w:r>
          </w:p>
        </w:tc>
        <w:tc>
          <w:tcPr>
            <w:tcW w:w="1753" w:type="dxa"/>
          </w:tcPr>
          <w:p w:rsidR="00814C04" w:rsidRDefault="008F015A" w:rsidP="00233D1E">
            <w:pPr>
              <w:pStyle w:val="NoSpacing"/>
              <w:jc w:val="center"/>
              <w:rPr>
                <w:rFonts w:cs="Arial"/>
                <w:szCs w:val="24"/>
              </w:rPr>
            </w:pPr>
            <w:r>
              <w:rPr>
                <w:rFonts w:cs="Arial"/>
                <w:szCs w:val="24"/>
              </w:rPr>
              <w:t>8.89</w:t>
            </w:r>
          </w:p>
        </w:tc>
        <w:tc>
          <w:tcPr>
            <w:tcW w:w="1823" w:type="dxa"/>
          </w:tcPr>
          <w:p w:rsidR="00814C04" w:rsidRDefault="008F015A" w:rsidP="00233D1E">
            <w:pPr>
              <w:pStyle w:val="NoSpacing"/>
              <w:jc w:val="center"/>
              <w:rPr>
                <w:rFonts w:cs="Arial"/>
                <w:szCs w:val="24"/>
              </w:rPr>
            </w:pPr>
            <w:r>
              <w:rPr>
                <w:rFonts w:cs="Arial"/>
                <w:szCs w:val="24"/>
              </w:rPr>
              <w:t>15.98</w:t>
            </w:r>
          </w:p>
        </w:tc>
        <w:tc>
          <w:tcPr>
            <w:tcW w:w="1951" w:type="dxa"/>
          </w:tcPr>
          <w:p w:rsidR="00814C04" w:rsidRDefault="008F015A" w:rsidP="00233D1E">
            <w:pPr>
              <w:pStyle w:val="NoSpacing"/>
              <w:jc w:val="center"/>
              <w:rPr>
                <w:rFonts w:cs="Arial"/>
                <w:szCs w:val="24"/>
              </w:rPr>
            </w:pPr>
            <w:r>
              <w:rPr>
                <w:rFonts w:cs="Arial"/>
                <w:szCs w:val="24"/>
              </w:rPr>
              <w:t>7.65</w:t>
            </w:r>
          </w:p>
        </w:tc>
        <w:tc>
          <w:tcPr>
            <w:tcW w:w="2126" w:type="dxa"/>
          </w:tcPr>
          <w:p w:rsidR="00814C04" w:rsidRDefault="008F015A" w:rsidP="00233D1E">
            <w:pPr>
              <w:pStyle w:val="NoSpacing"/>
              <w:jc w:val="center"/>
              <w:rPr>
                <w:rFonts w:cs="Arial"/>
                <w:szCs w:val="24"/>
              </w:rPr>
            </w:pPr>
            <w:r>
              <w:rPr>
                <w:rFonts w:cs="Arial"/>
                <w:szCs w:val="24"/>
              </w:rPr>
              <w:t>7.24</w:t>
            </w:r>
          </w:p>
        </w:tc>
        <w:tc>
          <w:tcPr>
            <w:tcW w:w="1853" w:type="dxa"/>
          </w:tcPr>
          <w:p w:rsidR="00814C04" w:rsidRDefault="008F015A" w:rsidP="00233D1E">
            <w:pPr>
              <w:pStyle w:val="NoSpacing"/>
              <w:jc w:val="center"/>
              <w:rPr>
                <w:rFonts w:cs="Arial"/>
                <w:szCs w:val="24"/>
              </w:rPr>
            </w:pPr>
            <w:r>
              <w:rPr>
                <w:rFonts w:cs="Arial"/>
                <w:szCs w:val="24"/>
              </w:rPr>
              <w:t>7.07</w:t>
            </w:r>
          </w:p>
        </w:tc>
        <w:tc>
          <w:tcPr>
            <w:tcW w:w="1723" w:type="dxa"/>
          </w:tcPr>
          <w:p w:rsidR="00814C04" w:rsidRDefault="008F015A" w:rsidP="00233D1E">
            <w:pPr>
              <w:pStyle w:val="NoSpacing"/>
              <w:jc w:val="center"/>
              <w:rPr>
                <w:rFonts w:cs="Arial"/>
                <w:szCs w:val="24"/>
              </w:rPr>
            </w:pPr>
            <w:r>
              <w:rPr>
                <w:rFonts w:cs="Arial"/>
                <w:szCs w:val="24"/>
              </w:rPr>
              <w:t>4.15</w:t>
            </w:r>
          </w:p>
        </w:tc>
      </w:tr>
      <w:tr w:rsidR="00814C04" w:rsidTr="006320F1">
        <w:tc>
          <w:tcPr>
            <w:tcW w:w="2945" w:type="dxa"/>
          </w:tcPr>
          <w:p w:rsidR="00814C04" w:rsidRDefault="0011730E" w:rsidP="00233D1E">
            <w:pPr>
              <w:pStyle w:val="NoSpacing"/>
              <w:rPr>
                <w:rFonts w:cs="Arial"/>
                <w:szCs w:val="24"/>
              </w:rPr>
            </w:pPr>
            <w:r>
              <w:rPr>
                <w:rFonts w:cs="Arial"/>
                <w:szCs w:val="24"/>
              </w:rPr>
              <w:t>Sikh</w:t>
            </w:r>
          </w:p>
        </w:tc>
        <w:tc>
          <w:tcPr>
            <w:tcW w:w="1753" w:type="dxa"/>
          </w:tcPr>
          <w:p w:rsidR="00814C04" w:rsidRDefault="008F015A" w:rsidP="00233D1E">
            <w:pPr>
              <w:pStyle w:val="NoSpacing"/>
              <w:jc w:val="center"/>
              <w:rPr>
                <w:rFonts w:cs="Arial"/>
                <w:szCs w:val="24"/>
              </w:rPr>
            </w:pPr>
            <w:r>
              <w:rPr>
                <w:rFonts w:cs="Arial"/>
                <w:szCs w:val="24"/>
              </w:rPr>
              <w:t>0.06</w:t>
            </w:r>
          </w:p>
        </w:tc>
        <w:tc>
          <w:tcPr>
            <w:tcW w:w="1823" w:type="dxa"/>
          </w:tcPr>
          <w:p w:rsidR="00814C04" w:rsidRDefault="008F015A" w:rsidP="00233D1E">
            <w:pPr>
              <w:pStyle w:val="NoSpacing"/>
              <w:jc w:val="center"/>
              <w:rPr>
                <w:rFonts w:cs="Arial"/>
                <w:szCs w:val="24"/>
              </w:rPr>
            </w:pPr>
            <w:r>
              <w:rPr>
                <w:rFonts w:cs="Arial"/>
                <w:szCs w:val="24"/>
              </w:rPr>
              <w:t>0.32</w:t>
            </w:r>
          </w:p>
        </w:tc>
        <w:tc>
          <w:tcPr>
            <w:tcW w:w="1951" w:type="dxa"/>
          </w:tcPr>
          <w:p w:rsidR="00814C04" w:rsidRDefault="008F015A" w:rsidP="00233D1E">
            <w:pPr>
              <w:pStyle w:val="NoSpacing"/>
              <w:jc w:val="center"/>
              <w:rPr>
                <w:rFonts w:cs="Arial"/>
                <w:szCs w:val="24"/>
              </w:rPr>
            </w:pPr>
            <w:r>
              <w:rPr>
                <w:rFonts w:cs="Arial"/>
                <w:szCs w:val="24"/>
              </w:rPr>
              <w:t>0.78</w:t>
            </w:r>
          </w:p>
        </w:tc>
        <w:tc>
          <w:tcPr>
            <w:tcW w:w="2126" w:type="dxa"/>
          </w:tcPr>
          <w:p w:rsidR="00814C04" w:rsidRDefault="008F015A" w:rsidP="00233D1E">
            <w:pPr>
              <w:pStyle w:val="NoSpacing"/>
              <w:jc w:val="center"/>
              <w:rPr>
                <w:rFonts w:cs="Arial"/>
                <w:szCs w:val="24"/>
              </w:rPr>
            </w:pPr>
            <w:r>
              <w:rPr>
                <w:rFonts w:cs="Arial"/>
                <w:szCs w:val="24"/>
              </w:rPr>
              <w:t>0.52</w:t>
            </w:r>
          </w:p>
        </w:tc>
        <w:tc>
          <w:tcPr>
            <w:tcW w:w="1853" w:type="dxa"/>
          </w:tcPr>
          <w:p w:rsidR="00814C04" w:rsidRDefault="008F015A" w:rsidP="00233D1E">
            <w:pPr>
              <w:pStyle w:val="NoSpacing"/>
              <w:jc w:val="center"/>
              <w:rPr>
                <w:rFonts w:cs="Arial"/>
                <w:szCs w:val="24"/>
              </w:rPr>
            </w:pPr>
            <w:r>
              <w:rPr>
                <w:rFonts w:cs="Arial"/>
                <w:szCs w:val="24"/>
              </w:rPr>
              <w:t>0.4</w:t>
            </w:r>
          </w:p>
        </w:tc>
        <w:tc>
          <w:tcPr>
            <w:tcW w:w="1723" w:type="dxa"/>
          </w:tcPr>
          <w:p w:rsidR="00814C04" w:rsidRDefault="008F015A" w:rsidP="00233D1E">
            <w:pPr>
              <w:pStyle w:val="NoSpacing"/>
              <w:jc w:val="center"/>
              <w:rPr>
                <w:rFonts w:cs="Arial"/>
                <w:szCs w:val="24"/>
              </w:rPr>
            </w:pPr>
            <w:r>
              <w:rPr>
                <w:rFonts w:cs="Arial"/>
                <w:szCs w:val="24"/>
              </w:rPr>
              <w:t>0.5</w:t>
            </w:r>
          </w:p>
        </w:tc>
      </w:tr>
      <w:tr w:rsidR="00814C04" w:rsidTr="006320F1">
        <w:tc>
          <w:tcPr>
            <w:tcW w:w="2945" w:type="dxa"/>
          </w:tcPr>
          <w:p w:rsidR="00814C04" w:rsidRDefault="0011730E" w:rsidP="00233D1E">
            <w:pPr>
              <w:pStyle w:val="NoSpacing"/>
              <w:rPr>
                <w:rFonts w:cs="Arial"/>
                <w:szCs w:val="24"/>
              </w:rPr>
            </w:pPr>
            <w:r>
              <w:rPr>
                <w:rFonts w:cs="Arial"/>
                <w:szCs w:val="24"/>
              </w:rPr>
              <w:t>Other</w:t>
            </w:r>
          </w:p>
        </w:tc>
        <w:tc>
          <w:tcPr>
            <w:tcW w:w="1753" w:type="dxa"/>
          </w:tcPr>
          <w:p w:rsidR="00814C04" w:rsidRDefault="008F015A" w:rsidP="00233D1E">
            <w:pPr>
              <w:pStyle w:val="NoSpacing"/>
              <w:jc w:val="center"/>
              <w:rPr>
                <w:rFonts w:cs="Arial"/>
                <w:szCs w:val="24"/>
              </w:rPr>
            </w:pPr>
            <w:r>
              <w:rPr>
                <w:rFonts w:cs="Arial"/>
                <w:szCs w:val="24"/>
              </w:rPr>
              <w:t>0.48</w:t>
            </w:r>
          </w:p>
        </w:tc>
        <w:tc>
          <w:tcPr>
            <w:tcW w:w="1823" w:type="dxa"/>
          </w:tcPr>
          <w:p w:rsidR="00814C04" w:rsidRDefault="008F015A" w:rsidP="00233D1E">
            <w:pPr>
              <w:pStyle w:val="NoSpacing"/>
              <w:jc w:val="center"/>
              <w:rPr>
                <w:rFonts w:cs="Arial"/>
                <w:szCs w:val="24"/>
              </w:rPr>
            </w:pPr>
            <w:r>
              <w:rPr>
                <w:rFonts w:cs="Arial"/>
                <w:szCs w:val="24"/>
              </w:rPr>
              <w:t>0.38</w:t>
            </w:r>
          </w:p>
        </w:tc>
        <w:tc>
          <w:tcPr>
            <w:tcW w:w="1951" w:type="dxa"/>
          </w:tcPr>
          <w:p w:rsidR="00814C04" w:rsidRDefault="008F015A" w:rsidP="00233D1E">
            <w:pPr>
              <w:pStyle w:val="NoSpacing"/>
              <w:jc w:val="center"/>
              <w:rPr>
                <w:rFonts w:cs="Arial"/>
                <w:szCs w:val="24"/>
              </w:rPr>
            </w:pPr>
            <w:r>
              <w:rPr>
                <w:rFonts w:cs="Arial"/>
                <w:szCs w:val="24"/>
              </w:rPr>
              <w:t>0.45</w:t>
            </w:r>
          </w:p>
        </w:tc>
        <w:tc>
          <w:tcPr>
            <w:tcW w:w="2126" w:type="dxa"/>
          </w:tcPr>
          <w:p w:rsidR="00814C04" w:rsidRDefault="008F015A" w:rsidP="00233D1E">
            <w:pPr>
              <w:pStyle w:val="NoSpacing"/>
              <w:jc w:val="center"/>
              <w:rPr>
                <w:rFonts w:cs="Arial"/>
                <w:szCs w:val="24"/>
              </w:rPr>
            </w:pPr>
            <w:r>
              <w:rPr>
                <w:rFonts w:cs="Arial"/>
                <w:szCs w:val="24"/>
              </w:rPr>
              <w:t>0.79</w:t>
            </w:r>
          </w:p>
        </w:tc>
        <w:tc>
          <w:tcPr>
            <w:tcW w:w="1853" w:type="dxa"/>
          </w:tcPr>
          <w:p w:rsidR="00814C04" w:rsidRDefault="008F015A" w:rsidP="00233D1E">
            <w:pPr>
              <w:pStyle w:val="NoSpacing"/>
              <w:jc w:val="center"/>
              <w:rPr>
                <w:rFonts w:cs="Arial"/>
                <w:szCs w:val="24"/>
              </w:rPr>
            </w:pPr>
            <w:r>
              <w:rPr>
                <w:rFonts w:cs="Arial"/>
                <w:szCs w:val="24"/>
              </w:rPr>
              <w:t>0.17</w:t>
            </w:r>
          </w:p>
        </w:tc>
        <w:tc>
          <w:tcPr>
            <w:tcW w:w="1723" w:type="dxa"/>
          </w:tcPr>
          <w:p w:rsidR="00814C04" w:rsidRDefault="008F015A" w:rsidP="00233D1E">
            <w:pPr>
              <w:pStyle w:val="NoSpacing"/>
              <w:jc w:val="center"/>
              <w:rPr>
                <w:rFonts w:cs="Arial"/>
                <w:szCs w:val="24"/>
              </w:rPr>
            </w:pPr>
            <w:r>
              <w:rPr>
                <w:rFonts w:cs="Arial"/>
                <w:szCs w:val="24"/>
              </w:rPr>
              <w:t>0.49</w:t>
            </w:r>
          </w:p>
        </w:tc>
      </w:tr>
      <w:tr w:rsidR="00814C04" w:rsidTr="006320F1">
        <w:tc>
          <w:tcPr>
            <w:tcW w:w="2945" w:type="dxa"/>
          </w:tcPr>
          <w:p w:rsidR="00814C04" w:rsidRDefault="0011730E" w:rsidP="00233D1E">
            <w:pPr>
              <w:pStyle w:val="NoSpacing"/>
              <w:rPr>
                <w:rFonts w:cs="Arial"/>
                <w:szCs w:val="24"/>
              </w:rPr>
            </w:pPr>
            <w:r>
              <w:rPr>
                <w:rFonts w:cs="Arial"/>
                <w:szCs w:val="24"/>
              </w:rPr>
              <w:t>None/Not stated</w:t>
            </w:r>
          </w:p>
        </w:tc>
        <w:tc>
          <w:tcPr>
            <w:tcW w:w="1753" w:type="dxa"/>
          </w:tcPr>
          <w:p w:rsidR="00814C04" w:rsidRDefault="008F015A" w:rsidP="00233D1E">
            <w:pPr>
              <w:pStyle w:val="NoSpacing"/>
              <w:jc w:val="center"/>
              <w:rPr>
                <w:rFonts w:cs="Arial"/>
                <w:szCs w:val="24"/>
              </w:rPr>
            </w:pPr>
            <w:r>
              <w:rPr>
                <w:rFonts w:cs="Arial"/>
                <w:szCs w:val="24"/>
              </w:rPr>
              <w:t>42.89</w:t>
            </w:r>
          </w:p>
        </w:tc>
        <w:tc>
          <w:tcPr>
            <w:tcW w:w="1823" w:type="dxa"/>
          </w:tcPr>
          <w:p w:rsidR="00814C04" w:rsidRDefault="008F015A" w:rsidP="00233D1E">
            <w:pPr>
              <w:pStyle w:val="NoSpacing"/>
              <w:jc w:val="center"/>
              <w:rPr>
                <w:rFonts w:cs="Arial"/>
                <w:szCs w:val="24"/>
              </w:rPr>
            </w:pPr>
            <w:r>
              <w:rPr>
                <w:rFonts w:cs="Arial"/>
                <w:szCs w:val="24"/>
              </w:rPr>
              <w:t>31.45</w:t>
            </w:r>
          </w:p>
        </w:tc>
        <w:tc>
          <w:tcPr>
            <w:tcW w:w="1951" w:type="dxa"/>
          </w:tcPr>
          <w:p w:rsidR="00814C04" w:rsidRDefault="008F015A" w:rsidP="00233D1E">
            <w:pPr>
              <w:pStyle w:val="NoSpacing"/>
              <w:jc w:val="center"/>
              <w:rPr>
                <w:rFonts w:cs="Arial"/>
                <w:szCs w:val="24"/>
              </w:rPr>
            </w:pPr>
            <w:r>
              <w:rPr>
                <w:rFonts w:cs="Arial"/>
                <w:szCs w:val="24"/>
              </w:rPr>
              <w:t>36.24</w:t>
            </w:r>
          </w:p>
        </w:tc>
        <w:tc>
          <w:tcPr>
            <w:tcW w:w="2126" w:type="dxa"/>
          </w:tcPr>
          <w:p w:rsidR="00814C04" w:rsidRDefault="008F015A" w:rsidP="00233D1E">
            <w:pPr>
              <w:pStyle w:val="NoSpacing"/>
              <w:jc w:val="center"/>
              <w:rPr>
                <w:rFonts w:cs="Arial"/>
                <w:szCs w:val="24"/>
              </w:rPr>
            </w:pPr>
            <w:r>
              <w:rPr>
                <w:rFonts w:cs="Arial"/>
                <w:szCs w:val="24"/>
              </w:rPr>
              <w:t>38.19</w:t>
            </w:r>
          </w:p>
        </w:tc>
        <w:tc>
          <w:tcPr>
            <w:tcW w:w="1853" w:type="dxa"/>
          </w:tcPr>
          <w:p w:rsidR="00814C04" w:rsidRDefault="008F015A" w:rsidP="00233D1E">
            <w:pPr>
              <w:pStyle w:val="NoSpacing"/>
              <w:jc w:val="center"/>
              <w:rPr>
                <w:rFonts w:cs="Arial"/>
                <w:szCs w:val="24"/>
              </w:rPr>
            </w:pPr>
            <w:r>
              <w:rPr>
                <w:rFonts w:cs="Arial"/>
                <w:szCs w:val="24"/>
              </w:rPr>
              <w:t>34.45</w:t>
            </w:r>
          </w:p>
        </w:tc>
        <w:tc>
          <w:tcPr>
            <w:tcW w:w="1723" w:type="dxa"/>
          </w:tcPr>
          <w:p w:rsidR="00814C04" w:rsidRDefault="008F015A" w:rsidP="00233D1E">
            <w:pPr>
              <w:pStyle w:val="NoSpacing"/>
              <w:jc w:val="center"/>
              <w:rPr>
                <w:rFonts w:cs="Arial"/>
                <w:szCs w:val="24"/>
              </w:rPr>
            </w:pPr>
            <w:r>
              <w:rPr>
                <w:rFonts w:cs="Arial"/>
                <w:szCs w:val="24"/>
              </w:rPr>
              <w:t>36.14</w:t>
            </w:r>
          </w:p>
        </w:tc>
      </w:tr>
    </w:tbl>
    <w:p w:rsidR="00814C04" w:rsidRDefault="00814C04" w:rsidP="00F63069">
      <w:pPr>
        <w:pStyle w:val="NoSpacing"/>
        <w:rPr>
          <w:rFonts w:cs="Arial"/>
          <w:i/>
          <w:szCs w:val="24"/>
        </w:rPr>
      </w:pPr>
    </w:p>
    <w:p w:rsidR="00F63069" w:rsidRPr="00AA5638" w:rsidRDefault="00F63069" w:rsidP="00F63069">
      <w:pPr>
        <w:pStyle w:val="NoSpacing"/>
        <w:rPr>
          <w:rFonts w:cs="Arial"/>
          <w:i/>
          <w:szCs w:val="24"/>
        </w:rPr>
      </w:pPr>
      <w:r w:rsidRPr="00AA5638">
        <w:rPr>
          <w:rFonts w:cs="Arial"/>
          <w:i/>
          <w:szCs w:val="24"/>
        </w:rPr>
        <w:t>Observations on the Census data</w:t>
      </w:r>
    </w:p>
    <w:p w:rsidR="00F63069" w:rsidRDefault="00F63069" w:rsidP="00F63069">
      <w:pPr>
        <w:pStyle w:val="NoSpacing"/>
        <w:rPr>
          <w:rFonts w:cs="Arial"/>
          <w:szCs w:val="24"/>
        </w:rPr>
      </w:pPr>
    </w:p>
    <w:p w:rsidR="00F63069" w:rsidRDefault="00F63069" w:rsidP="00F63069">
      <w:pPr>
        <w:pStyle w:val="NoSpacing"/>
        <w:rPr>
          <w:rFonts w:cs="Arial"/>
          <w:szCs w:val="24"/>
        </w:rPr>
      </w:pPr>
      <w:r>
        <w:rPr>
          <w:rFonts w:cs="Arial"/>
          <w:szCs w:val="24"/>
        </w:rPr>
        <w:t xml:space="preserve">The census data suggest that, by comparison with Northampton as a whole, the population of the </w:t>
      </w:r>
      <w:r w:rsidR="007A54EC">
        <w:rPr>
          <w:rFonts w:cs="Arial"/>
          <w:szCs w:val="24"/>
        </w:rPr>
        <w:t>Community First</w:t>
      </w:r>
      <w:r>
        <w:rPr>
          <w:rFonts w:cs="Arial"/>
          <w:szCs w:val="24"/>
        </w:rPr>
        <w:t xml:space="preserve"> area:</w:t>
      </w:r>
    </w:p>
    <w:p w:rsidR="00F63069" w:rsidRDefault="00F63069" w:rsidP="00F63069">
      <w:pPr>
        <w:pStyle w:val="NoSpacing"/>
        <w:rPr>
          <w:rFonts w:cs="Arial"/>
          <w:szCs w:val="24"/>
        </w:rPr>
      </w:pPr>
    </w:p>
    <w:p w:rsidR="00F63069" w:rsidRPr="002623AA" w:rsidRDefault="002C2ECD" w:rsidP="00F63069">
      <w:pPr>
        <w:pStyle w:val="NoSpacing"/>
        <w:numPr>
          <w:ilvl w:val="0"/>
          <w:numId w:val="4"/>
        </w:numPr>
        <w:rPr>
          <w:rFonts w:cs="Arial"/>
          <w:szCs w:val="24"/>
        </w:rPr>
      </w:pPr>
      <w:r>
        <w:rPr>
          <w:rFonts w:cs="Arial"/>
          <w:szCs w:val="24"/>
        </w:rPr>
        <w:t>fewer people in the 5 to 15 and over 60 age brackets than the Northampton percentages, and ther</w:t>
      </w:r>
      <w:r w:rsidR="001F4175">
        <w:rPr>
          <w:rFonts w:cs="Arial"/>
          <w:szCs w:val="24"/>
        </w:rPr>
        <w:t>e</w:t>
      </w:r>
      <w:r>
        <w:rPr>
          <w:rFonts w:cs="Arial"/>
          <w:szCs w:val="24"/>
        </w:rPr>
        <w:t xml:space="preserve">fore more in other ranges </w:t>
      </w:r>
    </w:p>
    <w:p w:rsidR="00F63069" w:rsidRPr="002623AA" w:rsidRDefault="00F63069" w:rsidP="00F63069">
      <w:pPr>
        <w:pStyle w:val="NoSpacing"/>
        <w:numPr>
          <w:ilvl w:val="0"/>
          <w:numId w:val="4"/>
        </w:numPr>
        <w:rPr>
          <w:rFonts w:cs="Arial"/>
          <w:szCs w:val="24"/>
        </w:rPr>
      </w:pPr>
      <w:r w:rsidRPr="002623AA">
        <w:rPr>
          <w:rFonts w:cs="Arial"/>
          <w:szCs w:val="24"/>
        </w:rPr>
        <w:t xml:space="preserve">has </w:t>
      </w:r>
      <w:r w:rsidR="002623AA" w:rsidRPr="002623AA">
        <w:rPr>
          <w:rFonts w:cs="Arial"/>
          <w:szCs w:val="24"/>
        </w:rPr>
        <w:t xml:space="preserve">lower levels of reported disability and long-term illness, possibly related to the </w:t>
      </w:r>
      <w:r w:rsidR="002C2ECD">
        <w:rPr>
          <w:rFonts w:cs="Arial"/>
          <w:szCs w:val="24"/>
        </w:rPr>
        <w:t>low numbers of older people</w:t>
      </w:r>
    </w:p>
    <w:p w:rsidR="002623AA" w:rsidRPr="002623AA" w:rsidRDefault="00F63069" w:rsidP="00F63069">
      <w:pPr>
        <w:pStyle w:val="NoSpacing"/>
        <w:numPr>
          <w:ilvl w:val="0"/>
          <w:numId w:val="4"/>
        </w:numPr>
        <w:rPr>
          <w:rFonts w:cs="Arial"/>
          <w:szCs w:val="24"/>
        </w:rPr>
      </w:pPr>
      <w:proofErr w:type="gramStart"/>
      <w:r w:rsidRPr="00B956C5">
        <w:rPr>
          <w:rFonts w:cs="Arial"/>
          <w:szCs w:val="24"/>
        </w:rPr>
        <w:t>is</w:t>
      </w:r>
      <w:proofErr w:type="gramEnd"/>
      <w:r w:rsidRPr="00B956C5">
        <w:rPr>
          <w:rFonts w:cs="Arial"/>
          <w:szCs w:val="24"/>
        </w:rPr>
        <w:t xml:space="preserve"> </w:t>
      </w:r>
      <w:r w:rsidR="002623AA" w:rsidRPr="00B956C5">
        <w:rPr>
          <w:rFonts w:cs="Arial"/>
          <w:szCs w:val="24"/>
        </w:rPr>
        <w:t xml:space="preserve">much more </w:t>
      </w:r>
      <w:r w:rsidRPr="00B956C5">
        <w:rPr>
          <w:rFonts w:cs="Arial"/>
          <w:szCs w:val="24"/>
        </w:rPr>
        <w:t xml:space="preserve">ethnically diverse, especially with regard to </w:t>
      </w:r>
      <w:r w:rsidR="002623AA" w:rsidRPr="00B956C5">
        <w:rPr>
          <w:rFonts w:cs="Arial"/>
          <w:szCs w:val="24"/>
        </w:rPr>
        <w:t>South Asian Muslim communities and Polish and other Middle/Central European populations</w:t>
      </w:r>
      <w:r w:rsidR="00B956C5" w:rsidRPr="00B956C5">
        <w:rPr>
          <w:rFonts w:cs="Arial"/>
          <w:szCs w:val="24"/>
        </w:rPr>
        <w:t xml:space="preserve">. The Community First area is also home to </w:t>
      </w:r>
      <w:r w:rsidR="00CF5AD5">
        <w:rPr>
          <w:rFonts w:cs="Arial"/>
          <w:szCs w:val="24"/>
        </w:rPr>
        <w:t>approximately 43.5</w:t>
      </w:r>
      <w:r w:rsidR="00B956C5" w:rsidRPr="00B956C5">
        <w:rPr>
          <w:rFonts w:cs="Arial"/>
          <w:szCs w:val="24"/>
        </w:rPr>
        <w:t>% of t</w:t>
      </w:r>
      <w:r w:rsidR="00B956C5">
        <w:rPr>
          <w:rFonts w:cs="Arial"/>
          <w:szCs w:val="24"/>
        </w:rPr>
        <w:t>he</w:t>
      </w:r>
      <w:r w:rsidR="00B956C5" w:rsidRPr="00B956C5">
        <w:rPr>
          <w:rFonts w:cs="Arial"/>
          <w:szCs w:val="24"/>
        </w:rPr>
        <w:t xml:space="preserve"> town’s </w:t>
      </w:r>
      <w:proofErr w:type="spellStart"/>
      <w:r w:rsidR="00B956C5">
        <w:rPr>
          <w:rFonts w:cs="Arial"/>
          <w:szCs w:val="24"/>
        </w:rPr>
        <w:t>M</w:t>
      </w:r>
      <w:r w:rsidR="00B956C5" w:rsidRPr="00B956C5">
        <w:rPr>
          <w:rFonts w:cs="Arial"/>
          <w:szCs w:val="24"/>
        </w:rPr>
        <w:t>alayam</w:t>
      </w:r>
      <w:proofErr w:type="spellEnd"/>
      <w:r w:rsidR="00B956C5" w:rsidRPr="00B956C5">
        <w:rPr>
          <w:rFonts w:cs="Arial"/>
          <w:szCs w:val="24"/>
        </w:rPr>
        <w:t xml:space="preserve"> speaking population, an Indian language from the south-west</w:t>
      </w:r>
      <w:r w:rsidR="00CF5AD5">
        <w:rPr>
          <w:rFonts w:cs="Arial"/>
          <w:szCs w:val="24"/>
        </w:rPr>
        <w:t>ern</w:t>
      </w:r>
      <w:r w:rsidR="00B956C5" w:rsidRPr="00B956C5">
        <w:rPr>
          <w:rFonts w:cs="Arial"/>
          <w:szCs w:val="24"/>
        </w:rPr>
        <w:t xml:space="preserve"> state of Kerala.  </w:t>
      </w:r>
    </w:p>
    <w:p w:rsidR="00F63069" w:rsidRDefault="002623AA" w:rsidP="00F63069">
      <w:pPr>
        <w:pStyle w:val="NoSpacing"/>
        <w:numPr>
          <w:ilvl w:val="0"/>
          <w:numId w:val="4"/>
        </w:numPr>
        <w:rPr>
          <w:rFonts w:cs="Arial"/>
          <w:szCs w:val="24"/>
        </w:rPr>
      </w:pPr>
      <w:proofErr w:type="gramStart"/>
      <w:r w:rsidRPr="002623AA">
        <w:rPr>
          <w:rFonts w:cs="Arial"/>
          <w:szCs w:val="24"/>
        </w:rPr>
        <w:t>in</w:t>
      </w:r>
      <w:proofErr w:type="gramEnd"/>
      <w:r w:rsidRPr="002623AA">
        <w:rPr>
          <w:rFonts w:cs="Arial"/>
          <w:szCs w:val="24"/>
        </w:rPr>
        <w:t xml:space="preserve"> consequence, has more speakers of South Asian languages and Polish and approximately double the percentage of Muslims with a concentration of almost four times the town-wide population in the area west of </w:t>
      </w:r>
      <w:r w:rsidR="00F35082">
        <w:rPr>
          <w:rFonts w:cs="Arial"/>
          <w:szCs w:val="24"/>
        </w:rPr>
        <w:t>K</w:t>
      </w:r>
      <w:r w:rsidRPr="002623AA">
        <w:rPr>
          <w:rFonts w:cs="Arial"/>
          <w:szCs w:val="24"/>
        </w:rPr>
        <w:t xml:space="preserve">ettering Road and south of Clare Street (i.e. Hervey, Somerset, </w:t>
      </w:r>
      <w:proofErr w:type="spellStart"/>
      <w:r w:rsidRPr="002623AA">
        <w:rPr>
          <w:rFonts w:cs="Arial"/>
          <w:szCs w:val="24"/>
        </w:rPr>
        <w:t>Cloutisham</w:t>
      </w:r>
      <w:proofErr w:type="spellEnd"/>
      <w:r w:rsidRPr="002623AA">
        <w:rPr>
          <w:rFonts w:cs="Arial"/>
          <w:szCs w:val="24"/>
        </w:rPr>
        <w:t xml:space="preserve"> and </w:t>
      </w:r>
      <w:proofErr w:type="spellStart"/>
      <w:r w:rsidRPr="002623AA">
        <w:rPr>
          <w:rFonts w:cs="Arial"/>
          <w:szCs w:val="24"/>
        </w:rPr>
        <w:t>Alcombe</w:t>
      </w:r>
      <w:proofErr w:type="spellEnd"/>
      <w:r w:rsidRPr="002623AA">
        <w:rPr>
          <w:rFonts w:cs="Arial"/>
          <w:szCs w:val="24"/>
        </w:rPr>
        <w:t xml:space="preserve"> Streets and </w:t>
      </w:r>
      <w:proofErr w:type="spellStart"/>
      <w:r w:rsidRPr="002623AA">
        <w:rPr>
          <w:rFonts w:cs="Arial"/>
          <w:szCs w:val="24"/>
        </w:rPr>
        <w:t>Dunster</w:t>
      </w:r>
      <w:proofErr w:type="spellEnd"/>
      <w:r w:rsidRPr="002623AA">
        <w:rPr>
          <w:rFonts w:cs="Arial"/>
          <w:szCs w:val="24"/>
        </w:rPr>
        <w:t xml:space="preserve"> Road. </w:t>
      </w:r>
    </w:p>
    <w:p w:rsidR="00F63069" w:rsidRPr="007A54EC" w:rsidRDefault="00F63069" w:rsidP="00F63069">
      <w:pPr>
        <w:pStyle w:val="NoSpacing"/>
        <w:rPr>
          <w:rFonts w:cs="Arial"/>
          <w:szCs w:val="24"/>
          <w:highlight w:val="yellow"/>
        </w:rPr>
      </w:pPr>
    </w:p>
    <w:p w:rsidR="00F63069" w:rsidRDefault="00F63069" w:rsidP="00F63069">
      <w:pPr>
        <w:pStyle w:val="NoSpacing"/>
        <w:rPr>
          <w:rFonts w:cs="Arial"/>
          <w:b/>
          <w:i/>
          <w:szCs w:val="24"/>
        </w:rPr>
      </w:pPr>
      <w:r w:rsidRPr="0075360F">
        <w:rPr>
          <w:rFonts w:cs="Arial"/>
          <w:b/>
          <w:i/>
          <w:szCs w:val="24"/>
        </w:rPr>
        <w:t>Quality of Life issues</w:t>
      </w:r>
    </w:p>
    <w:p w:rsidR="00F63069" w:rsidRPr="0075360F" w:rsidRDefault="00F63069" w:rsidP="00F63069">
      <w:pPr>
        <w:pStyle w:val="NoSpacing"/>
        <w:rPr>
          <w:rFonts w:cs="Arial"/>
          <w:szCs w:val="24"/>
        </w:rPr>
      </w:pPr>
    </w:p>
    <w:p w:rsidR="00F63069" w:rsidRDefault="00F63069" w:rsidP="00F63069">
      <w:pPr>
        <w:pStyle w:val="NoSpacing"/>
        <w:rPr>
          <w:rFonts w:cs="Arial"/>
          <w:szCs w:val="24"/>
        </w:rPr>
      </w:pPr>
      <w:r>
        <w:rPr>
          <w:rFonts w:cs="Arial"/>
          <w:szCs w:val="24"/>
        </w:rPr>
        <w:t xml:space="preserve">The principal source of quality of life data for the area is the most recent Index of Multiple Deprivation, compiled in 2010 (IMD2007).  IMD is updated every three years. </w:t>
      </w:r>
      <w:r w:rsidR="00FD1984">
        <w:rPr>
          <w:rFonts w:cs="Arial"/>
          <w:szCs w:val="24"/>
        </w:rPr>
        <w:t>As for the Census, t</w:t>
      </w:r>
      <w:r>
        <w:rPr>
          <w:rFonts w:cs="Arial"/>
          <w:szCs w:val="24"/>
        </w:rPr>
        <w:t>his nationwide data-set divides the country into over 33,000 Super Output Areas (or SOAs)</w:t>
      </w:r>
      <w:r w:rsidR="007A54EC">
        <w:rPr>
          <w:rFonts w:cs="Arial"/>
          <w:szCs w:val="24"/>
        </w:rPr>
        <w:t>, equivalent to census LSOAs,</w:t>
      </w:r>
      <w:r>
        <w:rPr>
          <w:rFonts w:cs="Arial"/>
          <w:szCs w:val="24"/>
        </w:rPr>
        <w:t xml:space="preserve"> and combines eight sub-sets (“domains”) to produce a top to bottom ranking of all 33,000 plus SOAs.  The eight domains are also ranked separately. These are as follows:</w:t>
      </w:r>
    </w:p>
    <w:p w:rsidR="002C2ECD" w:rsidRDefault="002C2ECD" w:rsidP="00F63069">
      <w:pPr>
        <w:pStyle w:val="NoSpacing"/>
        <w:rPr>
          <w:rFonts w:cs="Arial"/>
          <w:szCs w:val="24"/>
        </w:rPr>
      </w:pPr>
    </w:p>
    <w:p w:rsidR="00F63069" w:rsidRDefault="00F63069" w:rsidP="00F63069">
      <w:pPr>
        <w:pStyle w:val="NoSpacing"/>
        <w:rPr>
          <w:rFonts w:cs="Arial"/>
          <w:szCs w:val="24"/>
        </w:rPr>
      </w:pPr>
    </w:p>
    <w:p w:rsidR="00F63069" w:rsidRDefault="00F63069" w:rsidP="00F63069">
      <w:pPr>
        <w:pStyle w:val="NoSpacing"/>
        <w:numPr>
          <w:ilvl w:val="0"/>
          <w:numId w:val="1"/>
        </w:numPr>
        <w:rPr>
          <w:rFonts w:cs="Arial"/>
          <w:szCs w:val="24"/>
        </w:rPr>
      </w:pPr>
      <w:r>
        <w:rPr>
          <w:rFonts w:cs="Arial"/>
          <w:szCs w:val="24"/>
        </w:rPr>
        <w:lastRenderedPageBreak/>
        <w:t>Income</w:t>
      </w:r>
    </w:p>
    <w:p w:rsidR="00F63069" w:rsidRDefault="00F63069" w:rsidP="00F63069">
      <w:pPr>
        <w:pStyle w:val="NoSpacing"/>
        <w:numPr>
          <w:ilvl w:val="0"/>
          <w:numId w:val="1"/>
        </w:numPr>
        <w:rPr>
          <w:rFonts w:cs="Arial"/>
          <w:szCs w:val="24"/>
        </w:rPr>
      </w:pPr>
      <w:r>
        <w:rPr>
          <w:rFonts w:cs="Arial"/>
          <w:szCs w:val="24"/>
        </w:rPr>
        <w:t>Employment</w:t>
      </w:r>
    </w:p>
    <w:p w:rsidR="00F63069" w:rsidRDefault="00F63069" w:rsidP="00F63069">
      <w:pPr>
        <w:pStyle w:val="NoSpacing"/>
        <w:numPr>
          <w:ilvl w:val="0"/>
          <w:numId w:val="1"/>
        </w:numPr>
        <w:rPr>
          <w:rFonts w:cs="Arial"/>
          <w:szCs w:val="24"/>
        </w:rPr>
      </w:pPr>
      <w:r>
        <w:rPr>
          <w:rFonts w:cs="Arial"/>
          <w:szCs w:val="24"/>
        </w:rPr>
        <w:t>Health and disability</w:t>
      </w:r>
    </w:p>
    <w:p w:rsidR="00F63069" w:rsidRDefault="00F63069" w:rsidP="00F63069">
      <w:pPr>
        <w:pStyle w:val="NoSpacing"/>
        <w:numPr>
          <w:ilvl w:val="0"/>
          <w:numId w:val="1"/>
        </w:numPr>
        <w:rPr>
          <w:rFonts w:cs="Arial"/>
          <w:szCs w:val="24"/>
        </w:rPr>
      </w:pPr>
      <w:r>
        <w:rPr>
          <w:rFonts w:cs="Arial"/>
          <w:szCs w:val="24"/>
        </w:rPr>
        <w:t>Education, Training and skills</w:t>
      </w:r>
    </w:p>
    <w:p w:rsidR="00F63069" w:rsidRDefault="00F63069" w:rsidP="00F63069">
      <w:pPr>
        <w:pStyle w:val="NoSpacing"/>
        <w:numPr>
          <w:ilvl w:val="0"/>
          <w:numId w:val="1"/>
        </w:numPr>
        <w:rPr>
          <w:rFonts w:cs="Arial"/>
          <w:szCs w:val="24"/>
        </w:rPr>
      </w:pPr>
      <w:r>
        <w:rPr>
          <w:rFonts w:cs="Arial"/>
          <w:szCs w:val="24"/>
        </w:rPr>
        <w:t>Crime and disorder</w:t>
      </w:r>
    </w:p>
    <w:p w:rsidR="00F63069" w:rsidRDefault="00F63069" w:rsidP="00F63069">
      <w:pPr>
        <w:pStyle w:val="NoSpacing"/>
        <w:numPr>
          <w:ilvl w:val="0"/>
          <w:numId w:val="1"/>
        </w:numPr>
        <w:rPr>
          <w:rFonts w:cs="Arial"/>
          <w:szCs w:val="24"/>
        </w:rPr>
      </w:pPr>
      <w:r>
        <w:rPr>
          <w:rFonts w:cs="Arial"/>
          <w:szCs w:val="24"/>
        </w:rPr>
        <w:t>Quality of living environment</w:t>
      </w:r>
    </w:p>
    <w:p w:rsidR="00F63069" w:rsidRDefault="00F63069" w:rsidP="00F63069">
      <w:pPr>
        <w:pStyle w:val="NoSpacing"/>
        <w:numPr>
          <w:ilvl w:val="0"/>
          <w:numId w:val="1"/>
        </w:numPr>
        <w:rPr>
          <w:rFonts w:cs="Arial"/>
          <w:szCs w:val="24"/>
        </w:rPr>
      </w:pPr>
      <w:r>
        <w:rPr>
          <w:rFonts w:cs="Arial"/>
          <w:szCs w:val="24"/>
        </w:rPr>
        <w:t>Barriers to housing and services</w:t>
      </w:r>
    </w:p>
    <w:p w:rsidR="00F63069" w:rsidRDefault="00F63069" w:rsidP="00F63069">
      <w:pPr>
        <w:pStyle w:val="NoSpacing"/>
        <w:rPr>
          <w:rFonts w:cs="Arial"/>
          <w:szCs w:val="24"/>
        </w:rPr>
      </w:pPr>
    </w:p>
    <w:p w:rsidR="00FD1984" w:rsidRDefault="00FD1984" w:rsidP="00F63069">
      <w:pPr>
        <w:pStyle w:val="NoSpacing"/>
        <w:rPr>
          <w:rFonts w:cs="Arial"/>
          <w:szCs w:val="24"/>
        </w:rPr>
      </w:pPr>
      <w:r>
        <w:rPr>
          <w:rFonts w:cs="Arial"/>
          <w:szCs w:val="24"/>
        </w:rPr>
        <w:t>As seen above, t</w:t>
      </w:r>
      <w:r w:rsidR="00F63069">
        <w:rPr>
          <w:rFonts w:cs="Arial"/>
          <w:szCs w:val="24"/>
        </w:rPr>
        <w:t xml:space="preserve">he area consists of </w:t>
      </w:r>
      <w:r>
        <w:rPr>
          <w:rFonts w:cs="Arial"/>
          <w:szCs w:val="24"/>
        </w:rPr>
        <w:t>5</w:t>
      </w:r>
      <w:r w:rsidR="00F63069">
        <w:rPr>
          <w:rFonts w:cs="Arial"/>
          <w:szCs w:val="24"/>
        </w:rPr>
        <w:t xml:space="preserve"> SOAs</w:t>
      </w:r>
      <w:r>
        <w:rPr>
          <w:rFonts w:cs="Arial"/>
          <w:szCs w:val="24"/>
        </w:rPr>
        <w:t xml:space="preserve"> and a small part of another that stretches into Cotton End.</w:t>
      </w:r>
      <w:r w:rsidR="00F63069">
        <w:rPr>
          <w:rFonts w:cs="Arial"/>
          <w:szCs w:val="24"/>
        </w:rPr>
        <w:t xml:space="preserve"> The percentage rankings for these according to IMD 2010 are as follows (the lower the percentage score, the more deprived the neighbourhood). </w:t>
      </w:r>
    </w:p>
    <w:p w:rsidR="007914C6" w:rsidRDefault="007914C6">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134"/>
        <w:gridCol w:w="1418"/>
        <w:gridCol w:w="1417"/>
        <w:gridCol w:w="1418"/>
        <w:gridCol w:w="1559"/>
        <w:gridCol w:w="1418"/>
        <w:gridCol w:w="1417"/>
        <w:gridCol w:w="1559"/>
      </w:tblGrid>
      <w:tr w:rsidR="00F63069" w:rsidRPr="00405D6D" w:rsidTr="00233D1E">
        <w:tc>
          <w:tcPr>
            <w:tcW w:w="2376" w:type="dxa"/>
          </w:tcPr>
          <w:p w:rsidR="00F63069" w:rsidRPr="00405D6D" w:rsidRDefault="00F63069" w:rsidP="00233D1E">
            <w:pPr>
              <w:pStyle w:val="NoSpacing"/>
              <w:rPr>
                <w:rFonts w:cs="Arial"/>
                <w:b/>
                <w:szCs w:val="24"/>
              </w:rPr>
            </w:pPr>
            <w:r w:rsidRPr="00405D6D">
              <w:rPr>
                <w:rFonts w:cs="Arial"/>
                <w:b/>
                <w:szCs w:val="24"/>
              </w:rPr>
              <w:t>SOA location</w:t>
            </w:r>
          </w:p>
        </w:tc>
        <w:tc>
          <w:tcPr>
            <w:tcW w:w="1134" w:type="dxa"/>
          </w:tcPr>
          <w:p w:rsidR="00F63069" w:rsidRPr="00405D6D" w:rsidRDefault="00F63069" w:rsidP="00233D1E">
            <w:pPr>
              <w:pStyle w:val="NoSpacing"/>
              <w:rPr>
                <w:rFonts w:cs="Arial"/>
                <w:b/>
                <w:szCs w:val="24"/>
              </w:rPr>
            </w:pPr>
            <w:r w:rsidRPr="00405D6D">
              <w:rPr>
                <w:rFonts w:cs="Arial"/>
                <w:b/>
                <w:szCs w:val="24"/>
              </w:rPr>
              <w:t>Overall</w:t>
            </w:r>
          </w:p>
        </w:tc>
        <w:tc>
          <w:tcPr>
            <w:tcW w:w="1418" w:type="dxa"/>
          </w:tcPr>
          <w:p w:rsidR="00F63069" w:rsidRPr="00405D6D" w:rsidRDefault="00F63069" w:rsidP="00233D1E">
            <w:pPr>
              <w:pStyle w:val="NoSpacing"/>
              <w:rPr>
                <w:rFonts w:cs="Arial"/>
                <w:b/>
                <w:szCs w:val="24"/>
              </w:rPr>
            </w:pPr>
            <w:r w:rsidRPr="00405D6D">
              <w:rPr>
                <w:rFonts w:cs="Arial"/>
                <w:b/>
                <w:szCs w:val="24"/>
              </w:rPr>
              <w:t>Income</w:t>
            </w:r>
          </w:p>
        </w:tc>
        <w:tc>
          <w:tcPr>
            <w:tcW w:w="1417" w:type="dxa"/>
          </w:tcPr>
          <w:p w:rsidR="00F63069" w:rsidRPr="00405D6D" w:rsidRDefault="00F63069" w:rsidP="00233D1E">
            <w:pPr>
              <w:pStyle w:val="NoSpacing"/>
              <w:rPr>
                <w:rFonts w:cs="Arial"/>
                <w:b/>
                <w:szCs w:val="24"/>
              </w:rPr>
            </w:pPr>
            <w:r w:rsidRPr="00405D6D">
              <w:rPr>
                <w:rFonts w:cs="Arial"/>
                <w:b/>
                <w:szCs w:val="24"/>
              </w:rPr>
              <w:t>Employ-</w:t>
            </w:r>
          </w:p>
          <w:p w:rsidR="00F63069" w:rsidRPr="00405D6D" w:rsidRDefault="00F63069" w:rsidP="00233D1E">
            <w:pPr>
              <w:pStyle w:val="NoSpacing"/>
              <w:rPr>
                <w:rFonts w:cs="Arial"/>
                <w:b/>
                <w:szCs w:val="24"/>
              </w:rPr>
            </w:pPr>
            <w:proofErr w:type="spellStart"/>
            <w:r w:rsidRPr="00405D6D">
              <w:rPr>
                <w:rFonts w:cs="Arial"/>
                <w:b/>
                <w:szCs w:val="24"/>
              </w:rPr>
              <w:t>ment</w:t>
            </w:r>
            <w:proofErr w:type="spellEnd"/>
          </w:p>
        </w:tc>
        <w:tc>
          <w:tcPr>
            <w:tcW w:w="1418" w:type="dxa"/>
          </w:tcPr>
          <w:p w:rsidR="00F63069" w:rsidRPr="00405D6D" w:rsidRDefault="00F63069" w:rsidP="00233D1E">
            <w:pPr>
              <w:pStyle w:val="NoSpacing"/>
              <w:rPr>
                <w:rFonts w:cs="Arial"/>
                <w:b/>
                <w:szCs w:val="24"/>
              </w:rPr>
            </w:pPr>
            <w:r w:rsidRPr="00405D6D">
              <w:rPr>
                <w:rFonts w:cs="Arial"/>
                <w:b/>
                <w:szCs w:val="24"/>
              </w:rPr>
              <w:t>Health &amp; disability</w:t>
            </w:r>
          </w:p>
        </w:tc>
        <w:tc>
          <w:tcPr>
            <w:tcW w:w="1559" w:type="dxa"/>
          </w:tcPr>
          <w:p w:rsidR="00F63069" w:rsidRPr="00405D6D" w:rsidRDefault="00F63069" w:rsidP="00233D1E">
            <w:pPr>
              <w:pStyle w:val="NoSpacing"/>
              <w:rPr>
                <w:rFonts w:cs="Arial"/>
                <w:b/>
                <w:szCs w:val="24"/>
              </w:rPr>
            </w:pPr>
            <w:proofErr w:type="spellStart"/>
            <w:r w:rsidRPr="00405D6D">
              <w:rPr>
                <w:rFonts w:cs="Arial"/>
                <w:b/>
                <w:szCs w:val="24"/>
              </w:rPr>
              <w:t>Educ’n</w:t>
            </w:r>
            <w:proofErr w:type="spellEnd"/>
            <w:r w:rsidRPr="00405D6D">
              <w:rPr>
                <w:rFonts w:cs="Arial"/>
                <w:b/>
                <w:szCs w:val="24"/>
              </w:rPr>
              <w:t>, training and skills</w:t>
            </w:r>
          </w:p>
        </w:tc>
        <w:tc>
          <w:tcPr>
            <w:tcW w:w="1418" w:type="dxa"/>
          </w:tcPr>
          <w:p w:rsidR="00F63069" w:rsidRPr="00405D6D" w:rsidRDefault="00F63069" w:rsidP="00233D1E">
            <w:pPr>
              <w:pStyle w:val="NoSpacing"/>
              <w:rPr>
                <w:rFonts w:cs="Arial"/>
                <w:b/>
                <w:szCs w:val="24"/>
              </w:rPr>
            </w:pPr>
            <w:r w:rsidRPr="00405D6D">
              <w:rPr>
                <w:rFonts w:cs="Arial"/>
                <w:b/>
                <w:szCs w:val="24"/>
              </w:rPr>
              <w:t>Crime &amp; disorder</w:t>
            </w:r>
          </w:p>
        </w:tc>
        <w:tc>
          <w:tcPr>
            <w:tcW w:w="1417" w:type="dxa"/>
          </w:tcPr>
          <w:p w:rsidR="00F63069" w:rsidRPr="00405D6D" w:rsidRDefault="00F63069" w:rsidP="00233D1E">
            <w:pPr>
              <w:pStyle w:val="NoSpacing"/>
              <w:rPr>
                <w:rFonts w:cs="Arial"/>
                <w:b/>
                <w:szCs w:val="24"/>
              </w:rPr>
            </w:pPr>
            <w:proofErr w:type="spellStart"/>
            <w:r w:rsidRPr="00405D6D">
              <w:rPr>
                <w:rFonts w:cs="Arial"/>
                <w:b/>
                <w:szCs w:val="24"/>
              </w:rPr>
              <w:t>Env</w:t>
            </w:r>
            <w:proofErr w:type="spellEnd"/>
            <w:r w:rsidRPr="00405D6D">
              <w:rPr>
                <w:rFonts w:cs="Arial"/>
                <w:b/>
                <w:szCs w:val="24"/>
              </w:rPr>
              <w:t>. quality</w:t>
            </w:r>
          </w:p>
        </w:tc>
        <w:tc>
          <w:tcPr>
            <w:tcW w:w="1559" w:type="dxa"/>
          </w:tcPr>
          <w:p w:rsidR="00F63069" w:rsidRPr="00405D6D" w:rsidRDefault="00F63069" w:rsidP="00233D1E">
            <w:pPr>
              <w:pStyle w:val="NoSpacing"/>
              <w:rPr>
                <w:rFonts w:cs="Arial"/>
                <w:b/>
                <w:szCs w:val="24"/>
              </w:rPr>
            </w:pPr>
            <w:r w:rsidRPr="00405D6D">
              <w:rPr>
                <w:rFonts w:cs="Arial"/>
                <w:b/>
                <w:szCs w:val="24"/>
              </w:rPr>
              <w:t xml:space="preserve">Barriers to </w:t>
            </w:r>
          </w:p>
          <w:p w:rsidR="00F63069" w:rsidRPr="00405D6D" w:rsidRDefault="00F63069" w:rsidP="00233D1E">
            <w:pPr>
              <w:pStyle w:val="NoSpacing"/>
              <w:rPr>
                <w:rFonts w:cs="Arial"/>
                <w:b/>
                <w:szCs w:val="24"/>
              </w:rPr>
            </w:pPr>
            <w:r w:rsidRPr="00405D6D">
              <w:rPr>
                <w:rFonts w:cs="Arial"/>
                <w:b/>
                <w:szCs w:val="24"/>
              </w:rPr>
              <w:t>housing/</w:t>
            </w:r>
          </w:p>
          <w:p w:rsidR="00F63069" w:rsidRPr="00405D6D" w:rsidRDefault="00F63069" w:rsidP="00233D1E">
            <w:pPr>
              <w:pStyle w:val="NoSpacing"/>
              <w:rPr>
                <w:rFonts w:cs="Arial"/>
                <w:b/>
                <w:szCs w:val="24"/>
              </w:rPr>
            </w:pPr>
            <w:r w:rsidRPr="00405D6D">
              <w:rPr>
                <w:rFonts w:cs="Arial"/>
                <w:b/>
                <w:szCs w:val="24"/>
              </w:rPr>
              <w:t>services</w:t>
            </w:r>
          </w:p>
        </w:tc>
      </w:tr>
      <w:tr w:rsidR="000E0F14" w:rsidRPr="00405D6D" w:rsidTr="000E0F14">
        <w:tc>
          <w:tcPr>
            <w:tcW w:w="2376" w:type="dxa"/>
          </w:tcPr>
          <w:p w:rsidR="00233D1E" w:rsidRDefault="000E0F14" w:rsidP="00233D1E">
            <w:pPr>
              <w:pStyle w:val="NoSpacing"/>
              <w:rPr>
                <w:rFonts w:cs="Arial"/>
                <w:szCs w:val="24"/>
              </w:rPr>
            </w:pPr>
            <w:r w:rsidRPr="00FD1984">
              <w:rPr>
                <w:rFonts w:cs="Arial"/>
                <w:szCs w:val="24"/>
              </w:rPr>
              <w:t xml:space="preserve">West of </w:t>
            </w:r>
            <w:proofErr w:type="spellStart"/>
            <w:r w:rsidRPr="00FD1984">
              <w:rPr>
                <w:rFonts w:cs="Arial"/>
                <w:szCs w:val="24"/>
              </w:rPr>
              <w:t>Kett</w:t>
            </w:r>
            <w:proofErr w:type="spellEnd"/>
            <w:r w:rsidRPr="00FD1984">
              <w:rPr>
                <w:rFonts w:cs="Arial"/>
                <w:szCs w:val="24"/>
              </w:rPr>
              <w:t xml:space="preserve"> Rd</w:t>
            </w:r>
            <w:r>
              <w:rPr>
                <w:rFonts w:cs="Arial"/>
                <w:szCs w:val="24"/>
              </w:rPr>
              <w:t>/</w:t>
            </w:r>
            <w:r w:rsidRPr="00FD1984">
              <w:rPr>
                <w:rFonts w:cs="Arial"/>
                <w:szCs w:val="24"/>
              </w:rPr>
              <w:t xml:space="preserve"> north of Clare </w:t>
            </w:r>
          </w:p>
          <w:p w:rsidR="000E0F14" w:rsidRPr="00FD1984" w:rsidRDefault="000E0F14" w:rsidP="00233D1E">
            <w:pPr>
              <w:pStyle w:val="NoSpacing"/>
              <w:rPr>
                <w:rFonts w:cs="Arial"/>
                <w:szCs w:val="24"/>
              </w:rPr>
            </w:pPr>
            <w:r w:rsidRPr="00FD1984">
              <w:rPr>
                <w:rFonts w:cs="Arial"/>
                <w:szCs w:val="24"/>
              </w:rPr>
              <w:t>(SOA 023B)</w:t>
            </w:r>
          </w:p>
        </w:tc>
        <w:tc>
          <w:tcPr>
            <w:tcW w:w="1134"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28.05</w:t>
            </w:r>
          </w:p>
        </w:tc>
        <w:tc>
          <w:tcPr>
            <w:tcW w:w="1418"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39.71</w:t>
            </w:r>
          </w:p>
        </w:tc>
        <w:tc>
          <w:tcPr>
            <w:tcW w:w="1417" w:type="dxa"/>
          </w:tcPr>
          <w:p w:rsidR="000E0F14" w:rsidRDefault="000E0F14" w:rsidP="000E0F14">
            <w:pPr>
              <w:pStyle w:val="NoSpacing"/>
              <w:jc w:val="center"/>
            </w:pPr>
          </w:p>
          <w:p w:rsidR="000E0F14" w:rsidRDefault="000E0F14" w:rsidP="000E0F14">
            <w:pPr>
              <w:pStyle w:val="NoSpacing"/>
              <w:jc w:val="center"/>
            </w:pPr>
            <w:r>
              <w:t>48.12</w:t>
            </w:r>
          </w:p>
        </w:tc>
        <w:tc>
          <w:tcPr>
            <w:tcW w:w="1418" w:type="dxa"/>
          </w:tcPr>
          <w:p w:rsidR="000E0F14" w:rsidRDefault="000E0F14" w:rsidP="000E0F14">
            <w:pPr>
              <w:pStyle w:val="NoSpacing"/>
              <w:jc w:val="center"/>
            </w:pPr>
          </w:p>
          <w:p w:rsidR="000E0F14" w:rsidRDefault="000E0F14" w:rsidP="000E0F14">
            <w:pPr>
              <w:pStyle w:val="NoSpacing"/>
              <w:jc w:val="center"/>
            </w:pPr>
            <w:r>
              <w:t>21.46</w:t>
            </w:r>
          </w:p>
        </w:tc>
        <w:tc>
          <w:tcPr>
            <w:tcW w:w="1559" w:type="dxa"/>
          </w:tcPr>
          <w:p w:rsidR="000E0F14" w:rsidRDefault="000E0F14" w:rsidP="000E0F14">
            <w:pPr>
              <w:pStyle w:val="NoSpacing"/>
              <w:jc w:val="center"/>
            </w:pPr>
          </w:p>
          <w:p w:rsidR="000E0F14" w:rsidRDefault="000E0F14" w:rsidP="000E0F14">
            <w:pPr>
              <w:pStyle w:val="NoSpacing"/>
              <w:jc w:val="center"/>
            </w:pPr>
            <w:r>
              <w:t>35.92</w:t>
            </w:r>
          </w:p>
        </w:tc>
        <w:tc>
          <w:tcPr>
            <w:tcW w:w="1418" w:type="dxa"/>
            <w:shd w:val="clear" w:color="auto" w:fill="FFC000"/>
          </w:tcPr>
          <w:p w:rsidR="000E0F14" w:rsidRDefault="000E0F14" w:rsidP="000E0F14">
            <w:pPr>
              <w:pStyle w:val="NoSpacing"/>
              <w:jc w:val="center"/>
            </w:pPr>
          </w:p>
          <w:p w:rsidR="000E0F14" w:rsidRDefault="000E0F14" w:rsidP="000E0F14">
            <w:pPr>
              <w:pStyle w:val="NoSpacing"/>
              <w:jc w:val="center"/>
            </w:pPr>
            <w:r>
              <w:t>9.12</w:t>
            </w:r>
          </w:p>
        </w:tc>
        <w:tc>
          <w:tcPr>
            <w:tcW w:w="1417" w:type="dxa"/>
            <w:shd w:val="clear" w:color="auto" w:fill="FFC000"/>
          </w:tcPr>
          <w:p w:rsidR="000E0F14" w:rsidRDefault="000E0F14" w:rsidP="000E0F14">
            <w:pPr>
              <w:pStyle w:val="NoSpacing"/>
              <w:jc w:val="center"/>
            </w:pPr>
          </w:p>
          <w:p w:rsidR="000E0F14" w:rsidRDefault="000E0F14" w:rsidP="000E0F14">
            <w:pPr>
              <w:pStyle w:val="NoSpacing"/>
              <w:jc w:val="center"/>
            </w:pPr>
            <w:r>
              <w:t>7.4</w:t>
            </w:r>
            <w:r>
              <w:rPr>
                <w:rFonts w:cs="Arial"/>
                <w:szCs w:val="24"/>
              </w:rPr>
              <w:t xml:space="preserve"> </w:t>
            </w:r>
          </w:p>
        </w:tc>
        <w:tc>
          <w:tcPr>
            <w:tcW w:w="1559" w:type="dxa"/>
          </w:tcPr>
          <w:p w:rsidR="000E0F14" w:rsidRDefault="000E0F14" w:rsidP="000E0F14">
            <w:pPr>
              <w:pStyle w:val="NoSpacing"/>
              <w:jc w:val="center"/>
            </w:pPr>
          </w:p>
          <w:p w:rsidR="000E0F14" w:rsidRDefault="000E0F14" w:rsidP="000E0F14">
            <w:pPr>
              <w:pStyle w:val="NoSpacing"/>
              <w:jc w:val="center"/>
            </w:pPr>
            <w:r>
              <w:t>42.5</w:t>
            </w:r>
          </w:p>
        </w:tc>
      </w:tr>
      <w:tr w:rsidR="000E0F14" w:rsidRPr="00405D6D" w:rsidTr="000E0F14">
        <w:tc>
          <w:tcPr>
            <w:tcW w:w="2376" w:type="dxa"/>
          </w:tcPr>
          <w:p w:rsidR="000E0F14" w:rsidRPr="00FD1984" w:rsidRDefault="000E0F14" w:rsidP="00FD1984">
            <w:pPr>
              <w:pStyle w:val="NoSpacing"/>
              <w:rPr>
                <w:rFonts w:cs="Arial"/>
                <w:szCs w:val="24"/>
              </w:rPr>
            </w:pPr>
            <w:r w:rsidRPr="00FD1984">
              <w:rPr>
                <w:rFonts w:cs="Arial"/>
                <w:szCs w:val="24"/>
              </w:rPr>
              <w:t xml:space="preserve">West of </w:t>
            </w:r>
            <w:proofErr w:type="spellStart"/>
            <w:r w:rsidRPr="00FD1984">
              <w:rPr>
                <w:rFonts w:cs="Arial"/>
                <w:szCs w:val="24"/>
              </w:rPr>
              <w:t>Kett</w:t>
            </w:r>
            <w:proofErr w:type="spellEnd"/>
            <w:r w:rsidRPr="00FD1984">
              <w:rPr>
                <w:rFonts w:cs="Arial"/>
                <w:szCs w:val="24"/>
              </w:rPr>
              <w:t xml:space="preserve"> Rd</w:t>
            </w:r>
            <w:r>
              <w:rPr>
                <w:rFonts w:cs="Arial"/>
                <w:szCs w:val="24"/>
              </w:rPr>
              <w:t>/</w:t>
            </w:r>
            <w:r w:rsidRPr="00FD1984">
              <w:rPr>
                <w:rFonts w:cs="Arial"/>
                <w:szCs w:val="24"/>
              </w:rPr>
              <w:t xml:space="preserve"> south of Clare</w:t>
            </w:r>
          </w:p>
          <w:p w:rsidR="000E0F14" w:rsidRPr="00FD1984" w:rsidRDefault="000E0F14" w:rsidP="00233D1E">
            <w:pPr>
              <w:pStyle w:val="NoSpacing"/>
              <w:rPr>
                <w:rFonts w:cs="Arial"/>
                <w:szCs w:val="24"/>
              </w:rPr>
            </w:pPr>
            <w:r w:rsidRPr="00FD1984">
              <w:rPr>
                <w:rFonts w:cs="Arial"/>
                <w:szCs w:val="24"/>
              </w:rPr>
              <w:t>(SOA 023C)</w:t>
            </w:r>
          </w:p>
        </w:tc>
        <w:tc>
          <w:tcPr>
            <w:tcW w:w="1134"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26.61</w:t>
            </w:r>
          </w:p>
        </w:tc>
        <w:tc>
          <w:tcPr>
            <w:tcW w:w="1418"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29.12</w:t>
            </w:r>
          </w:p>
        </w:tc>
        <w:tc>
          <w:tcPr>
            <w:tcW w:w="1417" w:type="dxa"/>
          </w:tcPr>
          <w:p w:rsidR="000E0F14" w:rsidRDefault="000E0F14" w:rsidP="000E0F14">
            <w:pPr>
              <w:pStyle w:val="NoSpacing"/>
              <w:jc w:val="center"/>
            </w:pPr>
          </w:p>
          <w:p w:rsidR="000E0F14" w:rsidRDefault="000E0F14" w:rsidP="000E0F14">
            <w:pPr>
              <w:pStyle w:val="NoSpacing"/>
              <w:jc w:val="center"/>
            </w:pPr>
            <w:r>
              <w:t>53.18</w:t>
            </w:r>
          </w:p>
        </w:tc>
        <w:tc>
          <w:tcPr>
            <w:tcW w:w="1418" w:type="dxa"/>
          </w:tcPr>
          <w:p w:rsidR="000E0F14" w:rsidRDefault="000E0F14" w:rsidP="000E0F14">
            <w:pPr>
              <w:pStyle w:val="NoSpacing"/>
              <w:jc w:val="center"/>
            </w:pPr>
          </w:p>
          <w:p w:rsidR="000E0F14" w:rsidRDefault="000E0F14" w:rsidP="000E0F14">
            <w:pPr>
              <w:pStyle w:val="NoSpacing"/>
              <w:jc w:val="center"/>
            </w:pPr>
            <w:r>
              <w:t>30.42</w:t>
            </w:r>
          </w:p>
        </w:tc>
        <w:tc>
          <w:tcPr>
            <w:tcW w:w="1559" w:type="dxa"/>
          </w:tcPr>
          <w:p w:rsidR="000E0F14" w:rsidRDefault="000E0F14" w:rsidP="000E0F14">
            <w:pPr>
              <w:pStyle w:val="NoSpacing"/>
              <w:jc w:val="center"/>
            </w:pPr>
          </w:p>
          <w:p w:rsidR="000E0F14" w:rsidRDefault="000E0F14" w:rsidP="000E0F14">
            <w:pPr>
              <w:pStyle w:val="NoSpacing"/>
              <w:jc w:val="center"/>
            </w:pPr>
            <w:r>
              <w:t>28.91</w:t>
            </w:r>
          </w:p>
        </w:tc>
        <w:tc>
          <w:tcPr>
            <w:tcW w:w="1418" w:type="dxa"/>
            <w:shd w:val="clear" w:color="auto" w:fill="FFC000"/>
          </w:tcPr>
          <w:p w:rsidR="000E0F14" w:rsidRDefault="000E0F14" w:rsidP="000E0F14">
            <w:pPr>
              <w:pStyle w:val="NoSpacing"/>
              <w:jc w:val="center"/>
            </w:pPr>
          </w:p>
          <w:p w:rsidR="000E0F14" w:rsidRDefault="000E0F14" w:rsidP="000E0F14">
            <w:pPr>
              <w:pStyle w:val="NoSpacing"/>
              <w:jc w:val="center"/>
            </w:pPr>
            <w:r>
              <w:t>8.61</w:t>
            </w:r>
          </w:p>
        </w:tc>
        <w:tc>
          <w:tcPr>
            <w:tcW w:w="1417" w:type="dxa"/>
            <w:shd w:val="clear" w:color="auto" w:fill="FFC000"/>
          </w:tcPr>
          <w:p w:rsidR="000E0F14" w:rsidRDefault="000E0F14" w:rsidP="000E0F14">
            <w:pPr>
              <w:pStyle w:val="NoSpacing"/>
              <w:jc w:val="center"/>
            </w:pPr>
          </w:p>
          <w:p w:rsidR="000E0F14" w:rsidRDefault="000E0F14" w:rsidP="000E0F14">
            <w:pPr>
              <w:pStyle w:val="NoSpacing"/>
              <w:jc w:val="center"/>
            </w:pPr>
            <w:r>
              <w:t>7.65</w:t>
            </w:r>
          </w:p>
        </w:tc>
        <w:tc>
          <w:tcPr>
            <w:tcW w:w="1559" w:type="dxa"/>
          </w:tcPr>
          <w:p w:rsidR="000E0F14" w:rsidRDefault="000E0F14" w:rsidP="000E0F14">
            <w:pPr>
              <w:pStyle w:val="NoSpacing"/>
              <w:jc w:val="center"/>
            </w:pPr>
          </w:p>
          <w:p w:rsidR="000E0F14" w:rsidRDefault="000E0F14" w:rsidP="000E0F14">
            <w:pPr>
              <w:pStyle w:val="NoSpacing"/>
              <w:jc w:val="center"/>
            </w:pPr>
            <w:r>
              <w:t>37.04</w:t>
            </w:r>
          </w:p>
        </w:tc>
      </w:tr>
      <w:tr w:rsidR="000E0F14" w:rsidRPr="00405D6D" w:rsidTr="000E0F14">
        <w:tc>
          <w:tcPr>
            <w:tcW w:w="2376" w:type="dxa"/>
          </w:tcPr>
          <w:p w:rsidR="000E0F14" w:rsidRPr="00FD1984" w:rsidRDefault="000E0F14" w:rsidP="00FD1984">
            <w:pPr>
              <w:pStyle w:val="NoSpacing"/>
              <w:rPr>
                <w:rFonts w:cs="Arial"/>
                <w:szCs w:val="24"/>
              </w:rPr>
            </w:pPr>
            <w:r w:rsidRPr="00FD1984">
              <w:rPr>
                <w:rFonts w:cs="Arial"/>
                <w:szCs w:val="24"/>
              </w:rPr>
              <w:t xml:space="preserve">East of </w:t>
            </w:r>
            <w:proofErr w:type="spellStart"/>
            <w:r w:rsidRPr="00FD1984">
              <w:rPr>
                <w:rFonts w:cs="Arial"/>
                <w:szCs w:val="24"/>
              </w:rPr>
              <w:t>Kett</w:t>
            </w:r>
            <w:proofErr w:type="spellEnd"/>
            <w:r w:rsidRPr="00FD1984">
              <w:rPr>
                <w:rFonts w:cs="Arial"/>
                <w:szCs w:val="24"/>
              </w:rPr>
              <w:t xml:space="preserve"> Rd and PEMBA</w:t>
            </w:r>
          </w:p>
          <w:p w:rsidR="000E0F14" w:rsidRPr="00FD1984" w:rsidRDefault="000E0F14" w:rsidP="00233D1E">
            <w:pPr>
              <w:pStyle w:val="NoSpacing"/>
              <w:rPr>
                <w:rFonts w:cs="Arial"/>
                <w:szCs w:val="24"/>
              </w:rPr>
            </w:pPr>
            <w:r w:rsidRPr="00FD1984">
              <w:rPr>
                <w:rFonts w:cs="Arial"/>
                <w:szCs w:val="24"/>
              </w:rPr>
              <w:t>(SOA 025C)</w:t>
            </w:r>
          </w:p>
        </w:tc>
        <w:tc>
          <w:tcPr>
            <w:tcW w:w="1134" w:type="dxa"/>
            <w:shd w:val="clear" w:color="auto" w:fill="00B050"/>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18.5</w:t>
            </w:r>
          </w:p>
        </w:tc>
        <w:tc>
          <w:tcPr>
            <w:tcW w:w="1418"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26.52</w:t>
            </w:r>
          </w:p>
        </w:tc>
        <w:tc>
          <w:tcPr>
            <w:tcW w:w="1417" w:type="dxa"/>
          </w:tcPr>
          <w:p w:rsidR="000E0F14" w:rsidRDefault="000E0F14" w:rsidP="000E0F14">
            <w:pPr>
              <w:pStyle w:val="NoSpacing"/>
              <w:jc w:val="center"/>
            </w:pPr>
          </w:p>
          <w:p w:rsidR="000E0F14" w:rsidRDefault="000E0F14" w:rsidP="000E0F14">
            <w:pPr>
              <w:pStyle w:val="NoSpacing"/>
              <w:jc w:val="center"/>
            </w:pPr>
            <w:r>
              <w:t>24.44</w:t>
            </w:r>
          </w:p>
        </w:tc>
        <w:tc>
          <w:tcPr>
            <w:tcW w:w="1418" w:type="dxa"/>
            <w:shd w:val="clear" w:color="auto" w:fill="FFC000"/>
          </w:tcPr>
          <w:p w:rsidR="000E0F14" w:rsidRDefault="000E0F14" w:rsidP="000E0F14">
            <w:pPr>
              <w:pStyle w:val="NoSpacing"/>
              <w:jc w:val="center"/>
            </w:pPr>
          </w:p>
          <w:p w:rsidR="000E0F14" w:rsidRDefault="000E0F14" w:rsidP="000E0F14">
            <w:pPr>
              <w:pStyle w:val="NoSpacing"/>
              <w:jc w:val="center"/>
            </w:pPr>
            <w:r>
              <w:t>6.21</w:t>
            </w:r>
          </w:p>
        </w:tc>
        <w:tc>
          <w:tcPr>
            <w:tcW w:w="1559" w:type="dxa"/>
          </w:tcPr>
          <w:p w:rsidR="000E0F14" w:rsidRDefault="000E0F14" w:rsidP="000E0F14">
            <w:pPr>
              <w:pStyle w:val="NoSpacing"/>
              <w:jc w:val="center"/>
            </w:pPr>
          </w:p>
          <w:p w:rsidR="000E0F14" w:rsidRDefault="000E0F14" w:rsidP="000E0F14">
            <w:pPr>
              <w:pStyle w:val="NoSpacing"/>
              <w:jc w:val="center"/>
            </w:pPr>
            <w:r>
              <w:t>36.49</w:t>
            </w:r>
          </w:p>
        </w:tc>
        <w:tc>
          <w:tcPr>
            <w:tcW w:w="1418" w:type="dxa"/>
            <w:shd w:val="clear" w:color="auto" w:fill="FF0000"/>
          </w:tcPr>
          <w:p w:rsidR="000E0F14" w:rsidRDefault="000E0F14" w:rsidP="000E0F14">
            <w:pPr>
              <w:pStyle w:val="NoSpacing"/>
              <w:jc w:val="center"/>
            </w:pPr>
          </w:p>
          <w:p w:rsidR="000E0F14" w:rsidRDefault="000E0F14" w:rsidP="000E0F14">
            <w:pPr>
              <w:pStyle w:val="NoSpacing"/>
              <w:jc w:val="center"/>
            </w:pPr>
            <w:r>
              <w:t>4.95</w:t>
            </w:r>
          </w:p>
        </w:tc>
        <w:tc>
          <w:tcPr>
            <w:tcW w:w="1417" w:type="dxa"/>
            <w:shd w:val="clear" w:color="auto" w:fill="00B050"/>
          </w:tcPr>
          <w:p w:rsidR="000E0F14" w:rsidRDefault="000E0F14" w:rsidP="000E0F14">
            <w:pPr>
              <w:pStyle w:val="NoSpacing"/>
              <w:jc w:val="center"/>
            </w:pPr>
          </w:p>
          <w:p w:rsidR="000E0F14" w:rsidRDefault="000E0F14" w:rsidP="000E0F14">
            <w:pPr>
              <w:pStyle w:val="NoSpacing"/>
              <w:jc w:val="center"/>
            </w:pPr>
            <w:r>
              <w:t>16.46</w:t>
            </w:r>
          </w:p>
        </w:tc>
        <w:tc>
          <w:tcPr>
            <w:tcW w:w="1559" w:type="dxa"/>
          </w:tcPr>
          <w:p w:rsidR="000E0F14" w:rsidRDefault="000E0F14" w:rsidP="000E0F14">
            <w:pPr>
              <w:pStyle w:val="NoSpacing"/>
              <w:jc w:val="center"/>
            </w:pPr>
          </w:p>
          <w:p w:rsidR="000E0F14" w:rsidRDefault="00264E02" w:rsidP="000E0F14">
            <w:pPr>
              <w:pStyle w:val="NoSpacing"/>
              <w:jc w:val="center"/>
            </w:pPr>
            <w:r>
              <w:t>62.73</w:t>
            </w:r>
          </w:p>
        </w:tc>
      </w:tr>
      <w:tr w:rsidR="000E0F14" w:rsidRPr="00405D6D" w:rsidTr="000E0F14">
        <w:tc>
          <w:tcPr>
            <w:tcW w:w="2376" w:type="dxa"/>
          </w:tcPr>
          <w:p w:rsidR="000E0F14" w:rsidRPr="00FD1984" w:rsidRDefault="000E0F14" w:rsidP="00FD1984">
            <w:pPr>
              <w:pStyle w:val="NoSpacing"/>
              <w:rPr>
                <w:rFonts w:cs="Arial"/>
                <w:szCs w:val="24"/>
              </w:rPr>
            </w:pPr>
            <w:r w:rsidRPr="00FD1984">
              <w:rPr>
                <w:rFonts w:cs="Arial"/>
                <w:szCs w:val="24"/>
              </w:rPr>
              <w:t>St. Edmund’s and St. Michael</w:t>
            </w:r>
          </w:p>
          <w:p w:rsidR="000E0F14" w:rsidRPr="00FD1984" w:rsidRDefault="000E0F14" w:rsidP="00233D1E">
            <w:pPr>
              <w:pStyle w:val="NoSpacing"/>
              <w:rPr>
                <w:rFonts w:cs="Arial"/>
                <w:szCs w:val="24"/>
              </w:rPr>
            </w:pPr>
            <w:r w:rsidRPr="00FD1984">
              <w:rPr>
                <w:rFonts w:cs="Arial"/>
                <w:szCs w:val="24"/>
              </w:rPr>
              <w:t>(SOA 023D)</w:t>
            </w:r>
          </w:p>
        </w:tc>
        <w:tc>
          <w:tcPr>
            <w:tcW w:w="1134"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28.3</w:t>
            </w:r>
          </w:p>
        </w:tc>
        <w:tc>
          <w:tcPr>
            <w:tcW w:w="1418"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37.86</w:t>
            </w:r>
          </w:p>
        </w:tc>
        <w:tc>
          <w:tcPr>
            <w:tcW w:w="1417" w:type="dxa"/>
          </w:tcPr>
          <w:p w:rsidR="000E0F14" w:rsidRDefault="000E0F14" w:rsidP="000E0F14">
            <w:pPr>
              <w:pStyle w:val="NoSpacing"/>
              <w:jc w:val="center"/>
            </w:pPr>
          </w:p>
          <w:p w:rsidR="000E0F14" w:rsidRDefault="000E0F14" w:rsidP="000E0F14">
            <w:pPr>
              <w:pStyle w:val="NoSpacing"/>
              <w:jc w:val="center"/>
            </w:pPr>
            <w:r>
              <w:t>40.55</w:t>
            </w:r>
          </w:p>
        </w:tc>
        <w:tc>
          <w:tcPr>
            <w:tcW w:w="1418" w:type="dxa"/>
          </w:tcPr>
          <w:p w:rsidR="000E0F14" w:rsidRDefault="000E0F14" w:rsidP="000E0F14">
            <w:pPr>
              <w:pStyle w:val="NoSpacing"/>
              <w:jc w:val="center"/>
            </w:pPr>
          </w:p>
          <w:p w:rsidR="000E0F14" w:rsidRDefault="000E0F14" w:rsidP="000E0F14">
            <w:pPr>
              <w:pStyle w:val="NoSpacing"/>
              <w:jc w:val="center"/>
            </w:pPr>
            <w:r>
              <w:t>20.06</w:t>
            </w:r>
          </w:p>
        </w:tc>
        <w:tc>
          <w:tcPr>
            <w:tcW w:w="1559" w:type="dxa"/>
          </w:tcPr>
          <w:p w:rsidR="000E0F14" w:rsidRDefault="000E0F14" w:rsidP="000E0F14">
            <w:pPr>
              <w:pStyle w:val="NoSpacing"/>
              <w:jc w:val="center"/>
            </w:pPr>
          </w:p>
          <w:p w:rsidR="000E0F14" w:rsidRDefault="000E0F14" w:rsidP="000E0F14">
            <w:pPr>
              <w:pStyle w:val="NoSpacing"/>
              <w:jc w:val="center"/>
            </w:pPr>
            <w:r>
              <w:t>32.14</w:t>
            </w:r>
          </w:p>
        </w:tc>
        <w:tc>
          <w:tcPr>
            <w:tcW w:w="1418" w:type="dxa"/>
            <w:shd w:val="clear" w:color="auto" w:fill="00B050"/>
          </w:tcPr>
          <w:p w:rsidR="000E0F14" w:rsidRDefault="000E0F14" w:rsidP="000E0F14">
            <w:pPr>
              <w:pStyle w:val="NoSpacing"/>
              <w:jc w:val="center"/>
            </w:pPr>
          </w:p>
          <w:p w:rsidR="000E0F14" w:rsidRDefault="000E0F14" w:rsidP="000E0F14">
            <w:pPr>
              <w:pStyle w:val="NoSpacing"/>
              <w:jc w:val="center"/>
            </w:pPr>
            <w:r>
              <w:t>15.38</w:t>
            </w:r>
          </w:p>
        </w:tc>
        <w:tc>
          <w:tcPr>
            <w:tcW w:w="1417" w:type="dxa"/>
            <w:shd w:val="clear" w:color="auto" w:fill="FFC000"/>
          </w:tcPr>
          <w:p w:rsidR="000E0F14" w:rsidRDefault="000E0F14" w:rsidP="000E0F14">
            <w:pPr>
              <w:pStyle w:val="NoSpacing"/>
              <w:jc w:val="center"/>
            </w:pPr>
          </w:p>
          <w:p w:rsidR="000E0F14" w:rsidRDefault="000E0F14" w:rsidP="000E0F14">
            <w:pPr>
              <w:pStyle w:val="NoSpacing"/>
              <w:jc w:val="center"/>
            </w:pPr>
            <w:r>
              <w:t>8.14</w:t>
            </w:r>
          </w:p>
        </w:tc>
        <w:tc>
          <w:tcPr>
            <w:tcW w:w="1559" w:type="dxa"/>
          </w:tcPr>
          <w:p w:rsidR="000E0F14" w:rsidRDefault="000E0F14" w:rsidP="000E0F14">
            <w:pPr>
              <w:pStyle w:val="NoSpacing"/>
              <w:jc w:val="center"/>
            </w:pPr>
          </w:p>
          <w:p w:rsidR="00264E02" w:rsidRDefault="00264E02" w:rsidP="000E0F14">
            <w:pPr>
              <w:pStyle w:val="NoSpacing"/>
              <w:jc w:val="center"/>
            </w:pPr>
            <w:r>
              <w:t>57.28</w:t>
            </w:r>
          </w:p>
        </w:tc>
      </w:tr>
      <w:tr w:rsidR="000E0F14" w:rsidRPr="00405D6D" w:rsidTr="000E0F14">
        <w:tc>
          <w:tcPr>
            <w:tcW w:w="2376" w:type="dxa"/>
          </w:tcPr>
          <w:p w:rsidR="000E0F14" w:rsidRPr="00FD1984" w:rsidRDefault="000E0F14" w:rsidP="00FD1984">
            <w:pPr>
              <w:pStyle w:val="NoSpacing"/>
              <w:rPr>
                <w:rFonts w:cs="Arial"/>
                <w:szCs w:val="24"/>
              </w:rPr>
            </w:pPr>
            <w:r w:rsidRPr="00FD1984">
              <w:rPr>
                <w:rFonts w:cs="Arial"/>
                <w:szCs w:val="24"/>
              </w:rPr>
              <w:t xml:space="preserve">Vernon </w:t>
            </w:r>
            <w:proofErr w:type="spellStart"/>
            <w:r w:rsidRPr="00FD1984">
              <w:rPr>
                <w:rFonts w:cs="Arial"/>
                <w:szCs w:val="24"/>
              </w:rPr>
              <w:t>Terr</w:t>
            </w:r>
            <w:proofErr w:type="spellEnd"/>
            <w:r w:rsidRPr="00FD1984">
              <w:rPr>
                <w:rFonts w:cs="Arial"/>
                <w:szCs w:val="24"/>
              </w:rPr>
              <w:t xml:space="preserve"> to cemet</w:t>
            </w:r>
            <w:r>
              <w:rPr>
                <w:rFonts w:cs="Arial"/>
                <w:szCs w:val="24"/>
              </w:rPr>
              <w:t>e</w:t>
            </w:r>
            <w:r w:rsidRPr="00FD1984">
              <w:rPr>
                <w:rFonts w:cs="Arial"/>
                <w:szCs w:val="24"/>
              </w:rPr>
              <w:t>ry</w:t>
            </w:r>
          </w:p>
          <w:p w:rsidR="000E0F14" w:rsidRPr="00FD1984" w:rsidRDefault="000E0F14" w:rsidP="00233D1E">
            <w:pPr>
              <w:pStyle w:val="NoSpacing"/>
              <w:rPr>
                <w:rFonts w:cs="Arial"/>
                <w:szCs w:val="24"/>
              </w:rPr>
            </w:pPr>
            <w:r w:rsidRPr="00FD1984">
              <w:rPr>
                <w:rFonts w:cs="Arial"/>
                <w:szCs w:val="24"/>
              </w:rPr>
              <w:t>(SOA 025B)</w:t>
            </w:r>
          </w:p>
        </w:tc>
        <w:tc>
          <w:tcPr>
            <w:tcW w:w="1134"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21.18</w:t>
            </w:r>
          </w:p>
        </w:tc>
        <w:tc>
          <w:tcPr>
            <w:tcW w:w="1418" w:type="dxa"/>
          </w:tcPr>
          <w:p w:rsidR="000E0F14" w:rsidRDefault="000E0F14" w:rsidP="00233D1E">
            <w:pPr>
              <w:pStyle w:val="NoSpacing"/>
              <w:jc w:val="center"/>
              <w:rPr>
                <w:rFonts w:cs="Arial"/>
                <w:szCs w:val="24"/>
              </w:rPr>
            </w:pPr>
          </w:p>
          <w:p w:rsidR="000E0F14" w:rsidRPr="00CF7CF9" w:rsidRDefault="000E0F14" w:rsidP="00233D1E">
            <w:pPr>
              <w:pStyle w:val="NoSpacing"/>
              <w:jc w:val="center"/>
              <w:rPr>
                <w:rFonts w:cs="Arial"/>
                <w:szCs w:val="24"/>
              </w:rPr>
            </w:pPr>
            <w:r>
              <w:rPr>
                <w:rFonts w:cs="Arial"/>
                <w:szCs w:val="24"/>
              </w:rPr>
              <w:t>21.82</w:t>
            </w:r>
          </w:p>
        </w:tc>
        <w:tc>
          <w:tcPr>
            <w:tcW w:w="1417" w:type="dxa"/>
            <w:shd w:val="clear" w:color="auto" w:fill="00B050"/>
          </w:tcPr>
          <w:p w:rsidR="000E0F14" w:rsidRDefault="000E0F14" w:rsidP="000E0F14">
            <w:pPr>
              <w:pStyle w:val="NoSpacing"/>
              <w:jc w:val="center"/>
            </w:pPr>
          </w:p>
          <w:p w:rsidR="000E0F14" w:rsidRDefault="000E0F14" w:rsidP="000E0F14">
            <w:pPr>
              <w:pStyle w:val="NoSpacing"/>
              <w:jc w:val="center"/>
            </w:pPr>
            <w:r>
              <w:t>15.41</w:t>
            </w:r>
          </w:p>
        </w:tc>
        <w:tc>
          <w:tcPr>
            <w:tcW w:w="1418" w:type="dxa"/>
            <w:shd w:val="clear" w:color="auto" w:fill="FFC000"/>
          </w:tcPr>
          <w:p w:rsidR="000E0F14" w:rsidRDefault="000E0F14" w:rsidP="000E0F14">
            <w:pPr>
              <w:pStyle w:val="NoSpacing"/>
              <w:jc w:val="center"/>
            </w:pPr>
          </w:p>
          <w:p w:rsidR="000E0F14" w:rsidRDefault="000E0F14" w:rsidP="000E0F14">
            <w:pPr>
              <w:pStyle w:val="NoSpacing"/>
              <w:jc w:val="center"/>
            </w:pPr>
            <w:r>
              <w:t>7.63</w:t>
            </w:r>
          </w:p>
        </w:tc>
        <w:tc>
          <w:tcPr>
            <w:tcW w:w="1559" w:type="dxa"/>
          </w:tcPr>
          <w:p w:rsidR="000E0F14" w:rsidRDefault="000E0F14" w:rsidP="000E0F14">
            <w:pPr>
              <w:pStyle w:val="NoSpacing"/>
              <w:jc w:val="center"/>
            </w:pPr>
          </w:p>
          <w:p w:rsidR="000E0F14" w:rsidRDefault="000E0F14" w:rsidP="000E0F14">
            <w:pPr>
              <w:pStyle w:val="NoSpacing"/>
              <w:jc w:val="center"/>
            </w:pPr>
            <w:r>
              <w:t>23.42</w:t>
            </w:r>
          </w:p>
        </w:tc>
        <w:tc>
          <w:tcPr>
            <w:tcW w:w="1418" w:type="dxa"/>
          </w:tcPr>
          <w:p w:rsidR="000E0F14" w:rsidRDefault="000E0F14" w:rsidP="000E0F14">
            <w:pPr>
              <w:pStyle w:val="NoSpacing"/>
              <w:jc w:val="center"/>
            </w:pPr>
          </w:p>
          <w:p w:rsidR="000E0F14" w:rsidRDefault="000E0F14" w:rsidP="000E0F14">
            <w:pPr>
              <w:pStyle w:val="NoSpacing"/>
              <w:jc w:val="center"/>
            </w:pPr>
            <w:r>
              <w:t>40.76</w:t>
            </w:r>
          </w:p>
        </w:tc>
        <w:tc>
          <w:tcPr>
            <w:tcW w:w="1417" w:type="dxa"/>
          </w:tcPr>
          <w:p w:rsidR="000E0F14" w:rsidRDefault="000E0F14" w:rsidP="000E0F14">
            <w:pPr>
              <w:pStyle w:val="NoSpacing"/>
              <w:jc w:val="center"/>
            </w:pPr>
          </w:p>
          <w:p w:rsidR="000E0F14" w:rsidRDefault="000E0F14" w:rsidP="000E0F14">
            <w:pPr>
              <w:pStyle w:val="NoSpacing"/>
              <w:jc w:val="center"/>
            </w:pPr>
            <w:r>
              <w:t>51.59</w:t>
            </w:r>
          </w:p>
        </w:tc>
        <w:tc>
          <w:tcPr>
            <w:tcW w:w="1559" w:type="dxa"/>
          </w:tcPr>
          <w:p w:rsidR="000E0F14" w:rsidRDefault="000E0F14" w:rsidP="000E0F14">
            <w:pPr>
              <w:pStyle w:val="NoSpacing"/>
              <w:jc w:val="center"/>
            </w:pPr>
          </w:p>
          <w:p w:rsidR="00264E02" w:rsidRDefault="00264E02" w:rsidP="000E0F14">
            <w:pPr>
              <w:pStyle w:val="NoSpacing"/>
              <w:jc w:val="center"/>
            </w:pPr>
            <w:r>
              <w:t>62.74</w:t>
            </w:r>
          </w:p>
        </w:tc>
      </w:tr>
    </w:tbl>
    <w:p w:rsidR="000E0F14" w:rsidRDefault="000E0F14" w:rsidP="00F63069">
      <w:pPr>
        <w:pStyle w:val="NoSpacing"/>
        <w:rPr>
          <w:rFonts w:cs="Arial"/>
          <w:szCs w:val="24"/>
          <w:highlight w:val="yellow"/>
        </w:rPr>
      </w:pPr>
    </w:p>
    <w:p w:rsidR="002C2ECD" w:rsidRPr="002C2ECD" w:rsidRDefault="00264E02" w:rsidP="002C2ECD">
      <w:pPr>
        <w:pStyle w:val="NoSpacing"/>
        <w:rPr>
          <w:rFonts w:cs="Arial"/>
          <w:szCs w:val="24"/>
        </w:rPr>
      </w:pPr>
      <w:r w:rsidRPr="00264E02">
        <w:rPr>
          <w:rFonts w:cs="Arial"/>
          <w:szCs w:val="24"/>
        </w:rPr>
        <w:lastRenderedPageBreak/>
        <w:t xml:space="preserve">The overall picture is of </w:t>
      </w:r>
      <w:r>
        <w:rPr>
          <w:rFonts w:cs="Arial"/>
          <w:szCs w:val="24"/>
        </w:rPr>
        <w:t>an area that, while certainly not affluent, lies outside the bottom 20% nationally (commonly considered as a working definition of “deprived”).</w:t>
      </w:r>
      <w:r>
        <w:rPr>
          <w:rStyle w:val="FootnoteReference"/>
          <w:rFonts w:cs="Arial"/>
          <w:szCs w:val="24"/>
        </w:rPr>
        <w:footnoteReference w:id="1"/>
      </w:r>
      <w:r>
        <w:rPr>
          <w:rFonts w:cs="Arial"/>
          <w:szCs w:val="24"/>
        </w:rPr>
        <w:t xml:space="preserve"> Only one of the </w:t>
      </w:r>
      <w:r w:rsidR="001D3181">
        <w:rPr>
          <w:rFonts w:cs="Arial"/>
          <w:szCs w:val="24"/>
        </w:rPr>
        <w:t xml:space="preserve">SOAs falls into the bottom 20%: the area covering the streets to the east of Kettering Road, also including the PEMBA estate. </w:t>
      </w:r>
      <w:r w:rsidR="002C2ECD" w:rsidRPr="002C2ECD">
        <w:rPr>
          <w:rFonts w:cs="Arial"/>
          <w:szCs w:val="24"/>
        </w:rPr>
        <w:t>However, it should also be noted that most of these SOAs have a high turn-over of residents plus many non-respondents to the census and statistical surveys.</w:t>
      </w:r>
      <w:r w:rsidR="001F4175">
        <w:rPr>
          <w:rFonts w:cs="Arial"/>
          <w:szCs w:val="24"/>
        </w:rPr>
        <w:t xml:space="preserve"> This transience is </w:t>
      </w:r>
      <w:r w:rsidR="00260D8A">
        <w:rPr>
          <w:rFonts w:cs="Arial"/>
          <w:szCs w:val="24"/>
        </w:rPr>
        <w:t xml:space="preserve">largely </w:t>
      </w:r>
      <w:r w:rsidR="001F4175">
        <w:rPr>
          <w:rFonts w:cs="Arial"/>
          <w:szCs w:val="24"/>
        </w:rPr>
        <w:t>due to high numbers of student househo</w:t>
      </w:r>
      <w:r w:rsidR="008473FD">
        <w:rPr>
          <w:rFonts w:cs="Arial"/>
          <w:szCs w:val="24"/>
        </w:rPr>
        <w:t>ld</w:t>
      </w:r>
      <w:r w:rsidR="00260D8A">
        <w:rPr>
          <w:rFonts w:cs="Arial"/>
          <w:szCs w:val="24"/>
        </w:rPr>
        <w:t xml:space="preserve">s and private sector rented houses, many of them converted for multiple occupation. </w:t>
      </w:r>
    </w:p>
    <w:p w:rsidR="00F63069" w:rsidRPr="00264E02" w:rsidRDefault="00F63069" w:rsidP="00F63069">
      <w:pPr>
        <w:pStyle w:val="NoSpacing"/>
        <w:rPr>
          <w:rFonts w:cs="Arial"/>
          <w:szCs w:val="24"/>
        </w:rPr>
      </w:pPr>
    </w:p>
    <w:p w:rsidR="00F63069" w:rsidRDefault="00F63069" w:rsidP="00F63069">
      <w:pPr>
        <w:pStyle w:val="NoSpacing"/>
        <w:rPr>
          <w:rFonts w:cs="Arial"/>
          <w:szCs w:val="24"/>
        </w:rPr>
      </w:pPr>
      <w:r w:rsidRPr="00264E02">
        <w:rPr>
          <w:rFonts w:cs="Arial"/>
          <w:szCs w:val="24"/>
        </w:rPr>
        <w:t>Looking at the specific domains, a different picture emerges</w:t>
      </w:r>
      <w:r w:rsidR="003B50F3">
        <w:rPr>
          <w:rFonts w:cs="Arial"/>
          <w:szCs w:val="24"/>
        </w:rPr>
        <w:t xml:space="preserve">.  The area’s location close the town centre brings problems as well as advantages.  It ensures that barriers to services are low with most amenities within easy walking distance and it almost certainly contributes to the area’s generally good levels of employment – a large job market is very easily accessible.  However, the proximity of the town centre and the convergence of arterial roads are major factors in the low rating for environmental quality and may also contribute to the conspicuously high crime and ASB levels in the area. The other thing that stands out is the poor ranking of SOAs 025B and C with respect to health and disability. This may well be related to the higher number of pension age residents of those two neighbourhoods, as evidenced in the </w:t>
      </w:r>
      <w:r w:rsidR="009277AC">
        <w:rPr>
          <w:rFonts w:cs="Arial"/>
          <w:szCs w:val="24"/>
        </w:rPr>
        <w:t>Census data above.</w:t>
      </w:r>
    </w:p>
    <w:p w:rsidR="008C42A3" w:rsidRDefault="008C42A3" w:rsidP="00F63069">
      <w:pPr>
        <w:pStyle w:val="NoSpacing"/>
        <w:rPr>
          <w:rFonts w:cs="Arial"/>
          <w:szCs w:val="24"/>
        </w:rPr>
      </w:pPr>
    </w:p>
    <w:p w:rsidR="008C42A3" w:rsidRDefault="008C42A3" w:rsidP="008C42A3">
      <w:pPr>
        <w:pStyle w:val="NoSpacing"/>
        <w:rPr>
          <w:rFonts w:cs="Arial"/>
          <w:szCs w:val="24"/>
        </w:rPr>
      </w:pPr>
      <w:r>
        <w:rPr>
          <w:rFonts w:cs="Arial"/>
          <w:szCs w:val="24"/>
        </w:rPr>
        <w:t>Overall, the IMD data suggests that some targeting of Community First resources may be appropriate towards:</w:t>
      </w:r>
    </w:p>
    <w:p w:rsidR="008C42A3" w:rsidRDefault="008C42A3" w:rsidP="008C42A3">
      <w:pPr>
        <w:pStyle w:val="NoSpacing"/>
        <w:rPr>
          <w:rFonts w:cs="Arial"/>
          <w:szCs w:val="24"/>
        </w:rPr>
      </w:pPr>
    </w:p>
    <w:p w:rsidR="008C42A3" w:rsidRDefault="008C42A3" w:rsidP="008C42A3">
      <w:pPr>
        <w:pStyle w:val="NoSpacing"/>
        <w:numPr>
          <w:ilvl w:val="0"/>
          <w:numId w:val="11"/>
        </w:numPr>
        <w:rPr>
          <w:rFonts w:cs="Arial"/>
          <w:szCs w:val="24"/>
        </w:rPr>
      </w:pPr>
      <w:r>
        <w:rPr>
          <w:rFonts w:cs="Arial"/>
          <w:szCs w:val="24"/>
        </w:rPr>
        <w:t>the SOAs located e</w:t>
      </w:r>
      <w:r w:rsidRPr="00FD1984">
        <w:rPr>
          <w:rFonts w:cs="Arial"/>
          <w:szCs w:val="24"/>
        </w:rPr>
        <w:t>ast of Kett</w:t>
      </w:r>
      <w:r>
        <w:rPr>
          <w:rFonts w:cs="Arial"/>
          <w:szCs w:val="24"/>
        </w:rPr>
        <w:t>ering Road</w:t>
      </w:r>
      <w:r w:rsidRPr="00FD1984">
        <w:rPr>
          <w:rFonts w:cs="Arial"/>
          <w:szCs w:val="24"/>
        </w:rPr>
        <w:t xml:space="preserve"> Rd</w:t>
      </w:r>
      <w:r>
        <w:rPr>
          <w:rFonts w:cs="Arial"/>
          <w:szCs w:val="24"/>
        </w:rPr>
        <w:t xml:space="preserve">, including the PEMBA estate </w:t>
      </w:r>
      <w:r w:rsidRPr="00FD1984">
        <w:rPr>
          <w:rFonts w:cs="Arial"/>
          <w:szCs w:val="24"/>
        </w:rPr>
        <w:t>(SOA 025C)</w:t>
      </w:r>
      <w:r>
        <w:rPr>
          <w:rFonts w:cs="Arial"/>
          <w:szCs w:val="24"/>
        </w:rPr>
        <w:t xml:space="preserve"> and the one bounded by Vernon Terrace, Billing Road, Wellingborough Road and the cemetery (025B)</w:t>
      </w:r>
    </w:p>
    <w:p w:rsidR="008C42A3" w:rsidRDefault="008C42A3" w:rsidP="008C42A3">
      <w:pPr>
        <w:pStyle w:val="NoSpacing"/>
        <w:numPr>
          <w:ilvl w:val="0"/>
          <w:numId w:val="11"/>
        </w:numPr>
        <w:rPr>
          <w:rFonts w:cs="Arial"/>
          <w:szCs w:val="24"/>
        </w:rPr>
      </w:pPr>
      <w:r>
        <w:rPr>
          <w:rFonts w:cs="Arial"/>
          <w:szCs w:val="24"/>
        </w:rPr>
        <w:t>older residents</w:t>
      </w:r>
    </w:p>
    <w:p w:rsidR="008C42A3" w:rsidRDefault="008C42A3" w:rsidP="008C42A3">
      <w:pPr>
        <w:pStyle w:val="NoSpacing"/>
        <w:numPr>
          <w:ilvl w:val="0"/>
          <w:numId w:val="11"/>
        </w:numPr>
        <w:rPr>
          <w:rFonts w:cs="Arial"/>
          <w:szCs w:val="24"/>
        </w:rPr>
      </w:pPr>
      <w:r>
        <w:rPr>
          <w:rFonts w:cs="Arial"/>
          <w:szCs w:val="24"/>
        </w:rPr>
        <w:t>maximising the accessibility and positive use of the open spaces located close to the area</w:t>
      </w:r>
    </w:p>
    <w:p w:rsidR="008C42A3" w:rsidRDefault="008C42A3" w:rsidP="008C42A3">
      <w:pPr>
        <w:pStyle w:val="NoSpacing"/>
        <w:numPr>
          <w:ilvl w:val="0"/>
          <w:numId w:val="11"/>
        </w:numPr>
        <w:rPr>
          <w:rFonts w:cs="Arial"/>
          <w:szCs w:val="24"/>
        </w:rPr>
      </w:pPr>
      <w:r>
        <w:rPr>
          <w:rFonts w:cs="Arial"/>
          <w:szCs w:val="24"/>
        </w:rPr>
        <w:t>tackling crime and making the area feel safer</w:t>
      </w:r>
    </w:p>
    <w:p w:rsidR="008C42A3" w:rsidRDefault="008C42A3" w:rsidP="00F63069">
      <w:pPr>
        <w:pStyle w:val="NoSpacing"/>
        <w:rPr>
          <w:rFonts w:cs="Arial"/>
          <w:szCs w:val="24"/>
        </w:rPr>
      </w:pPr>
    </w:p>
    <w:p w:rsidR="009277AC" w:rsidRDefault="009277AC" w:rsidP="00F63069">
      <w:pPr>
        <w:pStyle w:val="NoSpacing"/>
        <w:rPr>
          <w:rFonts w:cs="Arial"/>
          <w:szCs w:val="24"/>
        </w:rPr>
      </w:pPr>
    </w:p>
    <w:p w:rsidR="008875AC" w:rsidRPr="00F06D31" w:rsidRDefault="00F06D31" w:rsidP="00F06D31">
      <w:pPr>
        <w:pStyle w:val="NoSpacing"/>
        <w:numPr>
          <w:ilvl w:val="0"/>
          <w:numId w:val="18"/>
        </w:numPr>
        <w:ind w:left="567" w:hanging="567"/>
        <w:rPr>
          <w:rFonts w:cs="Arial"/>
          <w:b/>
          <w:szCs w:val="24"/>
        </w:rPr>
      </w:pPr>
      <w:r>
        <w:rPr>
          <w:rFonts w:cs="Arial"/>
          <w:b/>
          <w:szCs w:val="24"/>
        </w:rPr>
        <w:t xml:space="preserve"> </w:t>
      </w:r>
      <w:r w:rsidR="008875AC" w:rsidRPr="00F06D31">
        <w:rPr>
          <w:rFonts w:cs="Arial"/>
          <w:b/>
          <w:szCs w:val="24"/>
        </w:rPr>
        <w:t>Other Strategies and Plans</w:t>
      </w:r>
    </w:p>
    <w:p w:rsidR="008875AC" w:rsidRDefault="008875AC" w:rsidP="008875AC">
      <w:pPr>
        <w:pStyle w:val="NoSpacing"/>
        <w:rPr>
          <w:rFonts w:cs="Arial"/>
          <w:szCs w:val="24"/>
        </w:rPr>
      </w:pPr>
    </w:p>
    <w:p w:rsidR="00E25040" w:rsidRDefault="00E25040" w:rsidP="008875AC">
      <w:pPr>
        <w:pStyle w:val="NoSpacing"/>
        <w:rPr>
          <w:rFonts w:cs="Arial"/>
          <w:szCs w:val="24"/>
        </w:rPr>
      </w:pPr>
      <w:r>
        <w:rPr>
          <w:rFonts w:cs="Arial"/>
          <w:szCs w:val="24"/>
        </w:rPr>
        <w:t xml:space="preserve">The Ward contains a number of sites included in the Borough Council’s Central Area Action Plan (CAAP). The large majority of these are in the non-residential part of the Ward, but residents in the Victoria terrace area opposite Morrison’s are on the doorstep of the major current development of the former St. John’s surface car park for student accommodation.  </w:t>
      </w:r>
    </w:p>
    <w:p w:rsidR="002C2ECD" w:rsidRDefault="002C2ECD" w:rsidP="00733C57">
      <w:pPr>
        <w:pStyle w:val="NoSpacing"/>
      </w:pPr>
    </w:p>
    <w:p w:rsidR="00733C57" w:rsidRPr="00733C57" w:rsidRDefault="00E25040" w:rsidP="00733C57">
      <w:pPr>
        <w:pStyle w:val="NoSpacing"/>
      </w:pPr>
      <w:r>
        <w:lastRenderedPageBreak/>
        <w:t xml:space="preserve">Also included in the </w:t>
      </w:r>
      <w:r w:rsidR="008875AC">
        <w:t xml:space="preserve">CAAP </w:t>
      </w:r>
      <w:r>
        <w:t xml:space="preserve">is a derelict site between </w:t>
      </w:r>
      <w:r w:rsidR="008875AC">
        <w:t>G</w:t>
      </w:r>
      <w:r>
        <w:t>reat</w:t>
      </w:r>
      <w:r w:rsidR="008875AC">
        <w:t xml:space="preserve"> Russell Street</w:t>
      </w:r>
      <w:r>
        <w:t xml:space="preserve"> and rear gardens in </w:t>
      </w:r>
      <w:proofErr w:type="spellStart"/>
      <w:r w:rsidR="00B41846">
        <w:t>Overstone</w:t>
      </w:r>
      <w:proofErr w:type="spellEnd"/>
      <w:r w:rsidR="00B41846">
        <w:t xml:space="preserve"> Road.  At the time of writing, no use for this area had been identified</w:t>
      </w:r>
      <w:r w:rsidR="00733C57">
        <w:t xml:space="preserve">. </w:t>
      </w:r>
      <w:r w:rsidR="00B41846">
        <w:t xml:space="preserve"> </w:t>
      </w:r>
      <w:r w:rsidR="00733C57">
        <w:t>The January 2013 version of the CAAP states that the area can expect “</w:t>
      </w:r>
      <w:r w:rsidR="00733C57" w:rsidRPr="00733C57">
        <w:t>Late delivery in Plan Period as ‘edge of centre</w:t>
      </w:r>
      <w:r w:rsidR="00733C57">
        <w:t>.</w:t>
      </w:r>
      <w:r w:rsidR="00733C57" w:rsidRPr="00733C57">
        <w:t>’ Site allocation allows residential</w:t>
      </w:r>
      <w:r w:rsidR="00733C57">
        <w:t xml:space="preserve">, </w:t>
      </w:r>
      <w:r w:rsidR="00733C57" w:rsidRPr="00733C57">
        <w:t>office</w:t>
      </w:r>
      <w:r w:rsidR="00733C57">
        <w:t xml:space="preserve">, </w:t>
      </w:r>
      <w:r w:rsidR="00733C57" w:rsidRPr="00733C57">
        <w:t>small scale employment</w:t>
      </w:r>
      <w:r w:rsidR="00733C57">
        <w:t xml:space="preserve">, </w:t>
      </w:r>
      <w:r w:rsidR="00733C57" w:rsidRPr="00733C57">
        <w:t>community facilities</w:t>
      </w:r>
      <w:r w:rsidR="00733C57">
        <w:t>, l</w:t>
      </w:r>
      <w:r w:rsidR="00733C57" w:rsidRPr="00733C57">
        <w:t>eisure</w:t>
      </w:r>
      <w:r w:rsidR="00733C57">
        <w:t>, education [or] small scale retailing.”</w:t>
      </w:r>
      <w:r w:rsidR="00733C57" w:rsidRPr="00733C57">
        <w:t xml:space="preserve"> </w:t>
      </w:r>
      <w:r w:rsidR="00B41846" w:rsidRPr="00733C57">
        <w:t xml:space="preserve"> </w:t>
      </w:r>
    </w:p>
    <w:p w:rsidR="00733C57" w:rsidRPr="00733C57" w:rsidRDefault="00733C57" w:rsidP="00733C57">
      <w:pPr>
        <w:pStyle w:val="Default"/>
        <w:rPr>
          <w:rFonts w:eastAsiaTheme="minorHAnsi"/>
        </w:rPr>
      </w:pPr>
    </w:p>
    <w:p w:rsidR="008875AC" w:rsidRDefault="00733C57" w:rsidP="008875AC">
      <w:pPr>
        <w:pStyle w:val="NoSpacing"/>
        <w:rPr>
          <w:rFonts w:cs="Arial"/>
          <w:szCs w:val="24"/>
        </w:rPr>
      </w:pPr>
      <w:r>
        <w:rPr>
          <w:rFonts w:cs="Arial"/>
          <w:szCs w:val="24"/>
        </w:rPr>
        <w:t xml:space="preserve">The Mounts area has been designated as a 2013/4 priority area </w:t>
      </w:r>
      <w:r w:rsidR="00416BB2">
        <w:rPr>
          <w:rFonts w:cs="Arial"/>
          <w:szCs w:val="24"/>
        </w:rPr>
        <w:t xml:space="preserve">in the Safer Northampton Partnership’s </w:t>
      </w:r>
      <w:r w:rsidR="008875AC">
        <w:rPr>
          <w:rFonts w:cs="Arial"/>
          <w:szCs w:val="24"/>
        </w:rPr>
        <w:t xml:space="preserve">SAC </w:t>
      </w:r>
      <w:r w:rsidR="00416BB2">
        <w:rPr>
          <w:rFonts w:cs="Arial"/>
          <w:szCs w:val="24"/>
        </w:rPr>
        <w:t xml:space="preserve">(Serious </w:t>
      </w:r>
      <w:proofErr w:type="spellStart"/>
      <w:r w:rsidR="00416BB2">
        <w:rPr>
          <w:rFonts w:cs="Arial"/>
          <w:szCs w:val="24"/>
        </w:rPr>
        <w:t>Acquistive</w:t>
      </w:r>
      <w:proofErr w:type="spellEnd"/>
      <w:r w:rsidR="00416BB2">
        <w:rPr>
          <w:rFonts w:cs="Arial"/>
          <w:szCs w:val="24"/>
        </w:rPr>
        <w:t xml:space="preserve"> Crime) action plan.  This will provide funding for such things as target hardening initiatives (likely to be carried out by Care and Repair). However, as this is public sector money it could not be used to match Community First money unless care and repair were able to source money from a non-governmental side or make use of volunteers.</w:t>
      </w:r>
    </w:p>
    <w:p w:rsidR="00E85F45" w:rsidRDefault="00E85F45" w:rsidP="008875AC">
      <w:pPr>
        <w:pStyle w:val="NoSpacing"/>
        <w:rPr>
          <w:rFonts w:cs="Arial"/>
          <w:szCs w:val="24"/>
        </w:rPr>
      </w:pPr>
    </w:p>
    <w:p w:rsidR="00E85F45" w:rsidRPr="00F06D31" w:rsidRDefault="00F06D31" w:rsidP="00F06D31">
      <w:pPr>
        <w:pStyle w:val="NoSpacing"/>
        <w:numPr>
          <w:ilvl w:val="0"/>
          <w:numId w:val="18"/>
        </w:numPr>
        <w:ind w:left="567" w:hanging="567"/>
        <w:rPr>
          <w:rFonts w:cs="Arial"/>
          <w:b/>
          <w:szCs w:val="24"/>
        </w:rPr>
      </w:pPr>
      <w:r w:rsidRPr="00F06D31">
        <w:rPr>
          <w:rFonts w:cs="Arial"/>
          <w:b/>
          <w:szCs w:val="24"/>
        </w:rPr>
        <w:t>Resident consultation</w:t>
      </w:r>
    </w:p>
    <w:p w:rsidR="008875AC" w:rsidRDefault="008875AC" w:rsidP="008875AC">
      <w:pPr>
        <w:pStyle w:val="NoSpacing"/>
        <w:rPr>
          <w:rFonts w:cs="Arial"/>
          <w:szCs w:val="24"/>
        </w:rPr>
      </w:pPr>
      <w:r>
        <w:rPr>
          <w:rFonts w:cs="Arial"/>
          <w:szCs w:val="24"/>
        </w:rPr>
        <w:t xml:space="preserve"> </w:t>
      </w:r>
    </w:p>
    <w:p w:rsidR="00416BB2" w:rsidRDefault="00416BB2" w:rsidP="008875AC">
      <w:pPr>
        <w:pStyle w:val="NoSpacing"/>
        <w:rPr>
          <w:rFonts w:cs="Arial"/>
          <w:szCs w:val="24"/>
        </w:rPr>
      </w:pPr>
      <w:r>
        <w:rPr>
          <w:rFonts w:cs="Arial"/>
          <w:szCs w:val="24"/>
        </w:rPr>
        <w:t xml:space="preserve">The process of developing this community plan involved analysis of recent consultations and some new consultation work conducted in public meetings, </w:t>
      </w:r>
      <w:r w:rsidRPr="00416BB2">
        <w:rPr>
          <w:rFonts w:cs="Arial"/>
          <w:i/>
          <w:szCs w:val="24"/>
        </w:rPr>
        <w:t>Street Talk</w:t>
      </w:r>
      <w:r>
        <w:rPr>
          <w:rFonts w:cs="Arial"/>
          <w:szCs w:val="24"/>
        </w:rPr>
        <w:t xml:space="preserve"> (a community newspaper produced by the Open Door centre) and on Survey Monkey.</w:t>
      </w:r>
    </w:p>
    <w:p w:rsidR="00416BB2" w:rsidRDefault="00416BB2" w:rsidP="008875AC">
      <w:pPr>
        <w:pStyle w:val="NoSpacing"/>
        <w:rPr>
          <w:rFonts w:cs="Arial"/>
          <w:szCs w:val="24"/>
        </w:rPr>
      </w:pPr>
    </w:p>
    <w:p w:rsidR="00416BB2" w:rsidRPr="00416BB2" w:rsidRDefault="00416BB2" w:rsidP="008875AC">
      <w:pPr>
        <w:pStyle w:val="NoSpacing"/>
        <w:rPr>
          <w:rFonts w:cs="Arial"/>
          <w:i/>
          <w:szCs w:val="24"/>
        </w:rPr>
      </w:pPr>
      <w:r w:rsidRPr="00416BB2">
        <w:rPr>
          <w:rFonts w:cs="Arial"/>
          <w:i/>
          <w:szCs w:val="24"/>
        </w:rPr>
        <w:t>Previous consultation work</w:t>
      </w:r>
    </w:p>
    <w:p w:rsidR="00416BB2" w:rsidRDefault="00416BB2" w:rsidP="008875AC">
      <w:pPr>
        <w:pStyle w:val="NoSpacing"/>
        <w:rPr>
          <w:rFonts w:cs="Arial"/>
          <w:szCs w:val="24"/>
        </w:rPr>
      </w:pPr>
    </w:p>
    <w:p w:rsidR="00516FB0" w:rsidRDefault="00516FB0" w:rsidP="008875AC">
      <w:pPr>
        <w:pStyle w:val="NoSpacing"/>
        <w:rPr>
          <w:rFonts w:cs="Arial"/>
          <w:szCs w:val="24"/>
        </w:rPr>
      </w:pPr>
      <w:r>
        <w:rPr>
          <w:rFonts w:cs="Arial"/>
          <w:szCs w:val="24"/>
        </w:rPr>
        <w:t>On five days between December 2011 and June 2012, the former Neighbourhood Management team at Northampton Borough Council conducted door to door surveys of resident concerns in the Mounts and St. Edmund’s parts of the area. These surveys were supported by Resident Association members</w:t>
      </w:r>
      <w:r w:rsidR="00416BB2">
        <w:rPr>
          <w:rFonts w:cs="Arial"/>
          <w:szCs w:val="24"/>
        </w:rPr>
        <w:t xml:space="preserve"> (including members of the Community Panel)</w:t>
      </w:r>
      <w:r>
        <w:rPr>
          <w:rFonts w:cs="Arial"/>
          <w:szCs w:val="24"/>
        </w:rPr>
        <w:t>, the Police and local Councillors. A total of 165 doorstep interviews were conducted, with a representative spread of ages and ethnicities (though a slight over-representation of older people and women, as being more likely to be at home during the day).</w:t>
      </w:r>
    </w:p>
    <w:p w:rsidR="00516FB0" w:rsidRDefault="00516FB0" w:rsidP="008875AC">
      <w:pPr>
        <w:pStyle w:val="NoSpacing"/>
        <w:rPr>
          <w:rFonts w:cs="Arial"/>
          <w:szCs w:val="24"/>
        </w:rPr>
      </w:pPr>
    </w:p>
    <w:p w:rsidR="00516FB0" w:rsidRDefault="00516FB0" w:rsidP="008875AC">
      <w:pPr>
        <w:pStyle w:val="NoSpacing"/>
        <w:rPr>
          <w:rFonts w:cs="Arial"/>
          <w:szCs w:val="24"/>
        </w:rPr>
      </w:pPr>
      <w:r>
        <w:rPr>
          <w:rFonts w:cs="Arial"/>
          <w:szCs w:val="24"/>
        </w:rPr>
        <w:t>As interviewees were mainly from public sector bodies, responses tended to focus on issues for attention by the Council and the Police.  However, some concerns were within the scope of Community First and residents were specifically asked for their views on how they would allocate a small amount of money if they had this available to them.</w:t>
      </w:r>
    </w:p>
    <w:p w:rsidR="00516FB0" w:rsidRDefault="00516FB0" w:rsidP="008875AC">
      <w:pPr>
        <w:pStyle w:val="NoSpacing"/>
        <w:rPr>
          <w:rFonts w:cs="Arial"/>
          <w:szCs w:val="24"/>
        </w:rPr>
      </w:pPr>
    </w:p>
    <w:p w:rsidR="00516FB0" w:rsidRDefault="00516FB0" w:rsidP="008875AC">
      <w:pPr>
        <w:pStyle w:val="NoSpacing"/>
        <w:rPr>
          <w:rFonts w:cs="Arial"/>
          <w:szCs w:val="24"/>
        </w:rPr>
      </w:pPr>
      <w:r>
        <w:rPr>
          <w:rFonts w:cs="Arial"/>
          <w:szCs w:val="24"/>
        </w:rPr>
        <w:t>I</w:t>
      </w:r>
      <w:r w:rsidR="00416BB2">
        <w:rPr>
          <w:rFonts w:cs="Arial"/>
          <w:szCs w:val="24"/>
        </w:rPr>
        <w:t>dentified i</w:t>
      </w:r>
      <w:r>
        <w:rPr>
          <w:rFonts w:cs="Arial"/>
          <w:szCs w:val="24"/>
        </w:rPr>
        <w:t>ssues that could be addressed by Community First funding were as follows:</w:t>
      </w:r>
    </w:p>
    <w:p w:rsidR="00516FB0" w:rsidRDefault="00516FB0" w:rsidP="008875AC">
      <w:pPr>
        <w:pStyle w:val="NoSpacing"/>
        <w:rPr>
          <w:rFonts w:cs="Arial"/>
          <w:szCs w:val="24"/>
        </w:rPr>
      </w:pPr>
    </w:p>
    <w:p w:rsidR="00E85F45" w:rsidRDefault="00516FB0" w:rsidP="00516FB0">
      <w:pPr>
        <w:pStyle w:val="NoSpacing"/>
        <w:numPr>
          <w:ilvl w:val="0"/>
          <w:numId w:val="12"/>
        </w:numPr>
        <w:rPr>
          <w:rFonts w:cs="Arial"/>
          <w:szCs w:val="24"/>
        </w:rPr>
      </w:pPr>
      <w:r>
        <w:rPr>
          <w:rFonts w:cs="Arial"/>
          <w:szCs w:val="24"/>
        </w:rPr>
        <w:t>provision of a caretaker to open and lock up the Ethel Street play area</w:t>
      </w:r>
      <w:r w:rsidR="007B5785">
        <w:rPr>
          <w:rFonts w:cs="Arial"/>
          <w:szCs w:val="24"/>
        </w:rPr>
        <w:t>, clear litter and report damage</w:t>
      </w:r>
    </w:p>
    <w:p w:rsidR="007B5785" w:rsidRDefault="007B5785" w:rsidP="00516FB0">
      <w:pPr>
        <w:pStyle w:val="NoSpacing"/>
        <w:numPr>
          <w:ilvl w:val="0"/>
          <w:numId w:val="12"/>
        </w:numPr>
        <w:rPr>
          <w:rFonts w:cs="Arial"/>
          <w:szCs w:val="24"/>
        </w:rPr>
      </w:pPr>
      <w:r>
        <w:rPr>
          <w:rFonts w:cs="Arial"/>
          <w:szCs w:val="24"/>
        </w:rPr>
        <w:t>support for elderly people at home, especially with gardening</w:t>
      </w:r>
    </w:p>
    <w:p w:rsidR="007B5785" w:rsidRDefault="007B5785" w:rsidP="00516FB0">
      <w:pPr>
        <w:pStyle w:val="NoSpacing"/>
        <w:numPr>
          <w:ilvl w:val="0"/>
          <w:numId w:val="12"/>
        </w:numPr>
        <w:rPr>
          <w:rFonts w:cs="Arial"/>
          <w:szCs w:val="24"/>
        </w:rPr>
      </w:pPr>
      <w:r>
        <w:rPr>
          <w:rFonts w:cs="Arial"/>
          <w:szCs w:val="24"/>
        </w:rPr>
        <w:t>provision for teenagers to provide an alternative to nuisance (or perceived nuisance) behaviour on the streets</w:t>
      </w:r>
    </w:p>
    <w:p w:rsidR="007B5785" w:rsidRDefault="007B5785" w:rsidP="00516FB0">
      <w:pPr>
        <w:pStyle w:val="NoSpacing"/>
        <w:numPr>
          <w:ilvl w:val="0"/>
          <w:numId w:val="12"/>
        </w:numPr>
        <w:rPr>
          <w:rFonts w:cs="Arial"/>
          <w:szCs w:val="24"/>
        </w:rPr>
      </w:pPr>
      <w:r>
        <w:rPr>
          <w:rFonts w:cs="Arial"/>
          <w:szCs w:val="24"/>
        </w:rPr>
        <w:lastRenderedPageBreak/>
        <w:t>skip-drops/fly-tipping amnesties</w:t>
      </w:r>
    </w:p>
    <w:p w:rsidR="007B5785" w:rsidRDefault="007B5785" w:rsidP="00516FB0">
      <w:pPr>
        <w:pStyle w:val="NoSpacing"/>
        <w:numPr>
          <w:ilvl w:val="0"/>
          <w:numId w:val="12"/>
        </w:numPr>
        <w:rPr>
          <w:rFonts w:cs="Arial"/>
          <w:szCs w:val="24"/>
        </w:rPr>
      </w:pPr>
      <w:r>
        <w:rPr>
          <w:rFonts w:cs="Arial"/>
          <w:szCs w:val="24"/>
        </w:rPr>
        <w:t>support for the St. Edmund’s cemetery project</w:t>
      </w:r>
    </w:p>
    <w:p w:rsidR="007B5785" w:rsidRDefault="007B5785" w:rsidP="00516FB0">
      <w:pPr>
        <w:pStyle w:val="NoSpacing"/>
        <w:numPr>
          <w:ilvl w:val="0"/>
          <w:numId w:val="12"/>
        </w:numPr>
        <w:rPr>
          <w:rFonts w:cs="Arial"/>
          <w:szCs w:val="24"/>
        </w:rPr>
      </w:pPr>
      <w:r>
        <w:rPr>
          <w:rFonts w:cs="Arial"/>
          <w:szCs w:val="24"/>
        </w:rPr>
        <w:t>floral displays on streets and shop frontages</w:t>
      </w:r>
    </w:p>
    <w:p w:rsidR="007B5785" w:rsidRDefault="007B5785" w:rsidP="00516FB0">
      <w:pPr>
        <w:pStyle w:val="NoSpacing"/>
        <w:numPr>
          <w:ilvl w:val="0"/>
          <w:numId w:val="12"/>
        </w:numPr>
        <w:rPr>
          <w:rFonts w:cs="Arial"/>
          <w:szCs w:val="24"/>
        </w:rPr>
      </w:pPr>
      <w:r>
        <w:rPr>
          <w:rFonts w:cs="Arial"/>
          <w:szCs w:val="24"/>
        </w:rPr>
        <w:t>marketing and positive publicity for the area</w:t>
      </w:r>
    </w:p>
    <w:p w:rsidR="007B5785" w:rsidRDefault="007B5785" w:rsidP="00516FB0">
      <w:pPr>
        <w:pStyle w:val="NoSpacing"/>
        <w:numPr>
          <w:ilvl w:val="0"/>
          <w:numId w:val="12"/>
        </w:numPr>
        <w:rPr>
          <w:rFonts w:cs="Arial"/>
          <w:szCs w:val="24"/>
        </w:rPr>
      </w:pPr>
      <w:r>
        <w:rPr>
          <w:rFonts w:cs="Arial"/>
          <w:szCs w:val="24"/>
        </w:rPr>
        <w:t>enhanced activities at the Vernon Street Children’s Centre</w:t>
      </w:r>
    </w:p>
    <w:p w:rsidR="007B5785" w:rsidRDefault="007B5785" w:rsidP="007B5785">
      <w:pPr>
        <w:pStyle w:val="NoSpacing"/>
        <w:rPr>
          <w:rFonts w:cs="Arial"/>
          <w:szCs w:val="24"/>
        </w:rPr>
      </w:pPr>
    </w:p>
    <w:p w:rsidR="00416BB2" w:rsidRPr="008C42A3" w:rsidRDefault="007B5785" w:rsidP="008C42A3">
      <w:pPr>
        <w:rPr>
          <w:rFonts w:cs="Arial"/>
          <w:i/>
          <w:szCs w:val="24"/>
        </w:rPr>
      </w:pPr>
      <w:r w:rsidRPr="00416BB2">
        <w:rPr>
          <w:rFonts w:cs="Arial"/>
          <w:i/>
          <w:szCs w:val="24"/>
        </w:rPr>
        <w:t>BME event</w:t>
      </w:r>
      <w:r w:rsidR="005158D0">
        <w:rPr>
          <w:rFonts w:cs="Arial"/>
          <w:szCs w:val="24"/>
        </w:rPr>
        <w:t xml:space="preserve"> </w:t>
      </w:r>
    </w:p>
    <w:p w:rsidR="00900F5D" w:rsidRDefault="00900F5D" w:rsidP="007B5785">
      <w:pPr>
        <w:pStyle w:val="NoSpacing"/>
        <w:rPr>
          <w:rFonts w:cs="Arial"/>
          <w:szCs w:val="24"/>
        </w:rPr>
      </w:pPr>
      <w:r>
        <w:rPr>
          <w:rFonts w:cs="Arial"/>
          <w:szCs w:val="24"/>
        </w:rPr>
        <w:t xml:space="preserve">This event was held specifically to identify and explore ways of addressing the needs of Black &amp; Minority Ethnic (BME) communities using the programme’s funding capacity. The Panel were aware not only that BME groups had benefitted little from the programme but also that there was a perception that </w:t>
      </w:r>
      <w:r w:rsidR="00DA1A3F">
        <w:rPr>
          <w:rFonts w:cs="Arial"/>
          <w:szCs w:val="24"/>
        </w:rPr>
        <w:t>they were</w:t>
      </w:r>
      <w:r>
        <w:rPr>
          <w:rFonts w:cs="Arial"/>
          <w:szCs w:val="24"/>
        </w:rPr>
        <w:t xml:space="preserve"> actually reluctant to support BME groups.  A number of applications from BME groups had failed and the cumulative impact of this had created an inaccurate impression.  The Panel therefore specially requested some targeted work with BME groups as a part of the development of this Community Plan.   </w:t>
      </w:r>
    </w:p>
    <w:p w:rsidR="00DA1A3F" w:rsidRDefault="00DA1A3F" w:rsidP="007B5785">
      <w:pPr>
        <w:pStyle w:val="NoSpacing"/>
        <w:rPr>
          <w:rFonts w:cs="Arial"/>
          <w:szCs w:val="24"/>
        </w:rPr>
      </w:pPr>
    </w:p>
    <w:p w:rsidR="00DA1A3F" w:rsidRDefault="00DA1A3F" w:rsidP="007B5785">
      <w:pPr>
        <w:pStyle w:val="NoSpacing"/>
        <w:rPr>
          <w:rFonts w:cs="Arial"/>
          <w:szCs w:val="24"/>
        </w:rPr>
      </w:pPr>
      <w:r>
        <w:rPr>
          <w:rFonts w:cs="Arial"/>
          <w:szCs w:val="24"/>
        </w:rPr>
        <w:t>The event was convened and chaired by a local Councillor held in high regard by t</w:t>
      </w:r>
      <w:r w:rsidR="00ED7A7A">
        <w:rPr>
          <w:rFonts w:cs="Arial"/>
          <w:szCs w:val="24"/>
        </w:rPr>
        <w:t>he</w:t>
      </w:r>
      <w:r>
        <w:rPr>
          <w:rFonts w:cs="Arial"/>
          <w:szCs w:val="24"/>
        </w:rPr>
        <w:t xml:space="preserve"> local BME sector and also </w:t>
      </w:r>
      <w:r w:rsidR="00ED7A7A">
        <w:rPr>
          <w:rFonts w:cs="Arial"/>
          <w:szCs w:val="24"/>
        </w:rPr>
        <w:t xml:space="preserve">endorsed and </w:t>
      </w:r>
      <w:r>
        <w:rPr>
          <w:rFonts w:cs="Arial"/>
          <w:szCs w:val="24"/>
        </w:rPr>
        <w:t xml:space="preserve">supported by </w:t>
      </w:r>
      <w:r w:rsidR="00372F46">
        <w:rPr>
          <w:rFonts w:cs="Arial"/>
          <w:szCs w:val="24"/>
        </w:rPr>
        <w:t>Northamptonshire’s</w:t>
      </w:r>
      <w:r w:rsidR="00ED7A7A">
        <w:rPr>
          <w:rFonts w:cs="Arial"/>
          <w:szCs w:val="24"/>
        </w:rPr>
        <w:t xml:space="preserve"> umbrella organisation </w:t>
      </w:r>
      <w:r w:rsidR="00372F46">
        <w:rPr>
          <w:rFonts w:cs="Arial"/>
          <w:szCs w:val="24"/>
        </w:rPr>
        <w:t>for BME groups</w:t>
      </w:r>
      <w:r w:rsidR="00ED7A7A">
        <w:rPr>
          <w:rFonts w:cs="Arial"/>
          <w:szCs w:val="24"/>
        </w:rPr>
        <w:t>, BME</w:t>
      </w:r>
      <w:r w:rsidR="00372F46">
        <w:rPr>
          <w:rFonts w:cs="Arial"/>
          <w:szCs w:val="24"/>
        </w:rPr>
        <w:t>-</w:t>
      </w:r>
      <w:r w:rsidR="00ED7A7A">
        <w:rPr>
          <w:rFonts w:cs="Arial"/>
          <w:szCs w:val="24"/>
        </w:rPr>
        <w:t>SRP</w:t>
      </w:r>
      <w:r w:rsidR="00372F46">
        <w:rPr>
          <w:rFonts w:cs="Arial"/>
          <w:szCs w:val="24"/>
        </w:rPr>
        <w:t xml:space="preserve"> (BME Sub-Regional Partnership)</w:t>
      </w:r>
      <w:r w:rsidR="00ED7A7A">
        <w:rPr>
          <w:rFonts w:cs="Arial"/>
          <w:szCs w:val="24"/>
        </w:rPr>
        <w:t>. 11 people, representing 9 different organisations attended.</w:t>
      </w:r>
      <w:r w:rsidR="00E404B8">
        <w:rPr>
          <w:rFonts w:cs="Arial"/>
          <w:szCs w:val="24"/>
        </w:rPr>
        <w:t xml:space="preserve"> Assurances were given that the Panel are actively seeking to build relations with the sector and a number of misconceptions about the programme were addressed. There was a discussion of how BME groups might be helped to apply.</w:t>
      </w:r>
    </w:p>
    <w:p w:rsidR="00ED7A7A" w:rsidRDefault="00ED7A7A" w:rsidP="007B5785">
      <w:pPr>
        <w:pStyle w:val="NoSpacing"/>
        <w:rPr>
          <w:rFonts w:cs="Arial"/>
          <w:szCs w:val="24"/>
        </w:rPr>
      </w:pPr>
    </w:p>
    <w:p w:rsidR="00ED7A7A" w:rsidRDefault="00ED7A7A" w:rsidP="007B5785">
      <w:pPr>
        <w:pStyle w:val="NoSpacing"/>
        <w:rPr>
          <w:rFonts w:cs="Arial"/>
          <w:szCs w:val="24"/>
        </w:rPr>
      </w:pPr>
      <w:r>
        <w:rPr>
          <w:rFonts w:cs="Arial"/>
          <w:szCs w:val="24"/>
        </w:rPr>
        <w:t xml:space="preserve">The main issues with which it was felt </w:t>
      </w:r>
      <w:r w:rsidR="00E404B8">
        <w:rPr>
          <w:rFonts w:cs="Arial"/>
          <w:szCs w:val="24"/>
        </w:rPr>
        <w:t>Community First could assist were as follows:</w:t>
      </w:r>
    </w:p>
    <w:p w:rsidR="00416BB2" w:rsidRDefault="00416BB2" w:rsidP="007B5785">
      <w:pPr>
        <w:pStyle w:val="NoSpacing"/>
        <w:rPr>
          <w:rFonts w:cs="Arial"/>
          <w:szCs w:val="24"/>
        </w:rPr>
      </w:pPr>
    </w:p>
    <w:p w:rsidR="00E404B8" w:rsidRDefault="00E404B8" w:rsidP="00E404B8">
      <w:pPr>
        <w:pStyle w:val="NoSpacing"/>
        <w:numPr>
          <w:ilvl w:val="0"/>
          <w:numId w:val="19"/>
        </w:numPr>
        <w:ind w:left="851" w:hanging="425"/>
        <w:rPr>
          <w:rFonts w:cs="Arial"/>
          <w:szCs w:val="24"/>
        </w:rPr>
      </w:pPr>
      <w:r>
        <w:rPr>
          <w:rFonts w:cs="Arial"/>
          <w:szCs w:val="24"/>
        </w:rPr>
        <w:t>tackling isolation, especially for elderly BME residents</w:t>
      </w:r>
    </w:p>
    <w:p w:rsidR="00E404B8" w:rsidRDefault="005158D0" w:rsidP="00E404B8">
      <w:pPr>
        <w:pStyle w:val="NoSpacing"/>
        <w:numPr>
          <w:ilvl w:val="0"/>
          <w:numId w:val="19"/>
        </w:numPr>
        <w:ind w:left="851" w:hanging="425"/>
        <w:rPr>
          <w:rFonts w:cs="Arial"/>
          <w:szCs w:val="24"/>
        </w:rPr>
      </w:pPr>
      <w:r>
        <w:rPr>
          <w:rFonts w:cs="Arial"/>
          <w:szCs w:val="24"/>
        </w:rPr>
        <w:t>community arts to bring people together (</w:t>
      </w:r>
      <w:r w:rsidR="00E404B8">
        <w:rPr>
          <w:rFonts w:cs="Arial"/>
          <w:szCs w:val="24"/>
        </w:rPr>
        <w:t xml:space="preserve">possibly through </w:t>
      </w:r>
      <w:r>
        <w:rPr>
          <w:rFonts w:cs="Arial"/>
          <w:szCs w:val="24"/>
        </w:rPr>
        <w:t>Carnival entries)</w:t>
      </w:r>
    </w:p>
    <w:p w:rsidR="007B5785" w:rsidRDefault="005158D0" w:rsidP="00E404B8">
      <w:pPr>
        <w:pStyle w:val="NoSpacing"/>
        <w:numPr>
          <w:ilvl w:val="0"/>
          <w:numId w:val="19"/>
        </w:numPr>
        <w:ind w:left="851" w:hanging="425"/>
        <w:rPr>
          <w:rFonts w:cs="Arial"/>
          <w:szCs w:val="24"/>
        </w:rPr>
      </w:pPr>
      <w:r>
        <w:rPr>
          <w:rFonts w:cs="Arial"/>
          <w:szCs w:val="24"/>
        </w:rPr>
        <w:t>mentoring</w:t>
      </w:r>
      <w:r w:rsidR="00E404B8">
        <w:rPr>
          <w:rFonts w:cs="Arial"/>
          <w:szCs w:val="24"/>
        </w:rPr>
        <w:t xml:space="preserve"> projects for young people and specifically young people from African/Caribbean backgrounds</w:t>
      </w:r>
    </w:p>
    <w:p w:rsidR="007B5785" w:rsidRDefault="007B5785" w:rsidP="007B5785">
      <w:pPr>
        <w:pStyle w:val="NoSpacing"/>
        <w:rPr>
          <w:rFonts w:cs="Arial"/>
          <w:szCs w:val="24"/>
        </w:rPr>
      </w:pPr>
    </w:p>
    <w:p w:rsidR="00E404B8" w:rsidRDefault="007B5785" w:rsidP="007B5785">
      <w:pPr>
        <w:pStyle w:val="NoSpacing"/>
        <w:rPr>
          <w:rFonts w:cs="Arial"/>
          <w:i/>
          <w:szCs w:val="24"/>
        </w:rPr>
      </w:pPr>
      <w:r w:rsidRPr="00E404B8">
        <w:rPr>
          <w:rFonts w:cs="Arial"/>
          <w:i/>
          <w:szCs w:val="24"/>
        </w:rPr>
        <w:t xml:space="preserve">Surveys </w:t>
      </w:r>
    </w:p>
    <w:p w:rsidR="00E404B8" w:rsidRDefault="00E404B8" w:rsidP="007B5785">
      <w:pPr>
        <w:pStyle w:val="NoSpacing"/>
        <w:rPr>
          <w:rFonts w:cs="Arial"/>
          <w:i/>
          <w:szCs w:val="24"/>
        </w:rPr>
      </w:pPr>
    </w:p>
    <w:p w:rsidR="00E404B8" w:rsidRDefault="00E404B8" w:rsidP="007B5785">
      <w:pPr>
        <w:pStyle w:val="NoSpacing"/>
        <w:rPr>
          <w:rFonts w:cs="Arial"/>
          <w:szCs w:val="24"/>
        </w:rPr>
      </w:pPr>
      <w:r>
        <w:rPr>
          <w:rFonts w:cs="Arial"/>
          <w:szCs w:val="24"/>
        </w:rPr>
        <w:t xml:space="preserve">Two surveys were </w:t>
      </w:r>
      <w:r w:rsidR="002C2ECD">
        <w:rPr>
          <w:rFonts w:cs="Arial"/>
          <w:szCs w:val="24"/>
        </w:rPr>
        <w:t>planned</w:t>
      </w:r>
      <w:r>
        <w:rPr>
          <w:rFonts w:cs="Arial"/>
          <w:szCs w:val="24"/>
        </w:rPr>
        <w:t xml:space="preserve"> to invite views on funding priorities for the remaining two years of the project and to create an opportunity for residents to suggest specific ideas or to nominate local good causes</w:t>
      </w:r>
      <w:r w:rsidR="002C2ECD">
        <w:rPr>
          <w:rFonts w:cs="Arial"/>
          <w:szCs w:val="24"/>
        </w:rPr>
        <w:t xml:space="preserve">, both offering </w:t>
      </w:r>
      <w:r>
        <w:rPr>
          <w:rFonts w:cs="Arial"/>
          <w:szCs w:val="24"/>
        </w:rPr>
        <w:t>entry to a prize draw, with a £25 voucher of the winner’s choice as first prize and a runner-up prize of £10.</w:t>
      </w:r>
    </w:p>
    <w:p w:rsidR="00E404B8" w:rsidRDefault="00E404B8" w:rsidP="007B5785">
      <w:pPr>
        <w:pStyle w:val="NoSpacing"/>
        <w:rPr>
          <w:rFonts w:cs="Arial"/>
          <w:szCs w:val="24"/>
        </w:rPr>
      </w:pPr>
    </w:p>
    <w:p w:rsidR="00372F46" w:rsidRDefault="00E404B8" w:rsidP="007B5785">
      <w:pPr>
        <w:pStyle w:val="NoSpacing"/>
        <w:rPr>
          <w:rFonts w:cs="Arial"/>
          <w:szCs w:val="24"/>
        </w:rPr>
      </w:pPr>
      <w:r>
        <w:rPr>
          <w:rFonts w:cs="Arial"/>
          <w:szCs w:val="24"/>
        </w:rPr>
        <w:lastRenderedPageBreak/>
        <w:t>The first of these was run on Survey Monkey and specifically targeted at young people, with youth group leaders forwarding the link to the webpage to the young people with whom they worked.  It is disappointing that this survey did not result in a single response.</w:t>
      </w:r>
    </w:p>
    <w:p w:rsidR="00372F46" w:rsidRDefault="00372F46" w:rsidP="007B5785">
      <w:pPr>
        <w:pStyle w:val="NoSpacing"/>
        <w:rPr>
          <w:rFonts w:cs="Arial"/>
          <w:szCs w:val="24"/>
        </w:rPr>
      </w:pPr>
    </w:p>
    <w:p w:rsidR="00372F46" w:rsidRPr="00372F46" w:rsidRDefault="00372F46" w:rsidP="001F4175">
      <w:pPr>
        <w:pStyle w:val="NoSpacing"/>
        <w:rPr>
          <w:rFonts w:cs="Arial"/>
          <w:i/>
          <w:szCs w:val="24"/>
        </w:rPr>
      </w:pPr>
      <w:r>
        <w:rPr>
          <w:rFonts w:cs="Arial"/>
          <w:szCs w:val="24"/>
        </w:rPr>
        <w:t xml:space="preserve">The second survey was used at the BME event and </w:t>
      </w:r>
      <w:r w:rsidR="002C2ECD">
        <w:rPr>
          <w:rFonts w:cs="Arial"/>
          <w:szCs w:val="24"/>
        </w:rPr>
        <w:t xml:space="preserve">was due to be </w:t>
      </w:r>
      <w:r>
        <w:rPr>
          <w:rFonts w:cs="Arial"/>
          <w:szCs w:val="24"/>
        </w:rPr>
        <w:t xml:space="preserve">included in the </w:t>
      </w:r>
      <w:proofErr w:type="gramStart"/>
      <w:r>
        <w:rPr>
          <w:rFonts w:cs="Arial"/>
          <w:szCs w:val="24"/>
        </w:rPr>
        <w:t>Summer</w:t>
      </w:r>
      <w:proofErr w:type="gramEnd"/>
      <w:r>
        <w:rPr>
          <w:rFonts w:cs="Arial"/>
          <w:szCs w:val="24"/>
        </w:rPr>
        <w:t xml:space="preserve"> 2013 edition of </w:t>
      </w:r>
      <w:r w:rsidRPr="00372F46">
        <w:rPr>
          <w:rFonts w:cs="Arial"/>
          <w:i/>
          <w:szCs w:val="24"/>
        </w:rPr>
        <w:t>Street Talk</w:t>
      </w:r>
      <w:r>
        <w:rPr>
          <w:rFonts w:cs="Arial"/>
          <w:szCs w:val="24"/>
        </w:rPr>
        <w:t>, the Open Door Centre’s community newsletter, itself supported by Community First.</w:t>
      </w:r>
      <w:r w:rsidR="00E404B8">
        <w:rPr>
          <w:rFonts w:cs="Arial"/>
          <w:szCs w:val="24"/>
        </w:rPr>
        <w:t xml:space="preserve"> </w:t>
      </w:r>
      <w:r w:rsidR="001F4175">
        <w:rPr>
          <w:rFonts w:cs="Arial"/>
          <w:szCs w:val="24"/>
        </w:rPr>
        <w:t xml:space="preserve"> A decision was later taken to merge the </w:t>
      </w:r>
      <w:proofErr w:type="gramStart"/>
      <w:r w:rsidR="001F4175">
        <w:rPr>
          <w:rFonts w:cs="Arial"/>
          <w:szCs w:val="24"/>
        </w:rPr>
        <w:t>Summer</w:t>
      </w:r>
      <w:proofErr w:type="gramEnd"/>
      <w:r w:rsidR="001F4175">
        <w:rPr>
          <w:rFonts w:cs="Arial"/>
          <w:szCs w:val="24"/>
        </w:rPr>
        <w:t xml:space="preserve"> and Autumn issues and the survey has therefore yet to be published. An analysis and interpretation of responses will be appended to this report once this has been done. </w:t>
      </w:r>
      <w:bookmarkStart w:id="0" w:name="Resume"/>
      <w:bookmarkEnd w:id="0"/>
    </w:p>
    <w:p w:rsidR="007B5785" w:rsidRDefault="007B5785" w:rsidP="007B5785">
      <w:pPr>
        <w:pStyle w:val="NoSpacing"/>
        <w:rPr>
          <w:rFonts w:cs="Arial"/>
          <w:szCs w:val="24"/>
        </w:rPr>
      </w:pPr>
    </w:p>
    <w:p w:rsidR="007B5785" w:rsidRPr="00854398" w:rsidRDefault="007B5785" w:rsidP="00854398">
      <w:pPr>
        <w:pStyle w:val="NoSpacing"/>
        <w:rPr>
          <w:i/>
        </w:rPr>
      </w:pPr>
      <w:r w:rsidRPr="00854398">
        <w:rPr>
          <w:i/>
        </w:rPr>
        <w:t>Stakeholder event</w:t>
      </w:r>
    </w:p>
    <w:p w:rsidR="00854398" w:rsidRDefault="00854398" w:rsidP="00854398">
      <w:pPr>
        <w:pStyle w:val="NoSpacing"/>
      </w:pPr>
    </w:p>
    <w:p w:rsidR="00854398" w:rsidRPr="00854398" w:rsidRDefault="00854398" w:rsidP="00854398">
      <w:pPr>
        <w:pStyle w:val="NoSpacing"/>
      </w:pPr>
      <w:r>
        <w:t xml:space="preserve">An open stakeholder event was held on 20 July to which residents, Resident Associations, </w:t>
      </w:r>
      <w:r w:rsidR="005D5E22">
        <w:t>elected Councillors, public sector service providers, previous</w:t>
      </w:r>
      <w:r>
        <w:t xml:space="preserve"> grant recipients and applicants and all VCOs affiliated to either Northampton CVS or Volunteer Centre were invited.  The event took place during a major </w:t>
      </w:r>
      <w:proofErr w:type="spellStart"/>
      <w:r>
        <w:t>heatwave</w:t>
      </w:r>
      <w:proofErr w:type="spellEnd"/>
      <w:r>
        <w:t>, which may have affected attendance (a number of organisation</w:t>
      </w:r>
      <w:r w:rsidR="005D5E22">
        <w:t>s</w:t>
      </w:r>
      <w:r>
        <w:t xml:space="preserve"> booked places but then failed to attend). 18 people attended to hear showcase presentations by four previous grant recipients and to learn about how applications can be made and the conditions that must be met for the second phase of the programme.</w:t>
      </w:r>
    </w:p>
    <w:p w:rsidR="00F06D31" w:rsidRDefault="00F06D31" w:rsidP="00854398">
      <w:pPr>
        <w:pStyle w:val="NoSpacing"/>
        <w:rPr>
          <w:rFonts w:cs="Arial"/>
          <w:szCs w:val="24"/>
        </w:rPr>
      </w:pPr>
    </w:p>
    <w:p w:rsidR="00854398" w:rsidRDefault="00854398" w:rsidP="00854398">
      <w:pPr>
        <w:pStyle w:val="NoSpacing"/>
        <w:rPr>
          <w:rFonts w:cs="Arial"/>
          <w:szCs w:val="24"/>
        </w:rPr>
      </w:pPr>
      <w:r>
        <w:rPr>
          <w:rFonts w:cs="Arial"/>
          <w:szCs w:val="24"/>
        </w:rPr>
        <w:t>The culminating session was a ranking exercise in which groups of participants were asked to rank a number of suggested programme priorities.  They also had the options of excluding any of the suggested priorities or adding in any others that they felt should be concluded.  The results of this exercise were as follows:</w:t>
      </w:r>
    </w:p>
    <w:p w:rsidR="00854398" w:rsidRDefault="00854398" w:rsidP="00854398">
      <w:pPr>
        <w:pStyle w:val="NoSpacing"/>
        <w:rPr>
          <w:rFonts w:cs="Arial"/>
          <w:szCs w:val="24"/>
        </w:rPr>
      </w:pPr>
    </w:p>
    <w:tbl>
      <w:tblPr>
        <w:tblStyle w:val="TableGrid"/>
        <w:tblW w:w="0" w:type="auto"/>
        <w:tblLook w:val="04A0"/>
      </w:tblPr>
      <w:tblGrid>
        <w:gridCol w:w="4724"/>
        <w:gridCol w:w="4725"/>
        <w:gridCol w:w="4725"/>
      </w:tblGrid>
      <w:tr w:rsidR="00854398" w:rsidTr="00854398">
        <w:tc>
          <w:tcPr>
            <w:tcW w:w="4724" w:type="dxa"/>
          </w:tcPr>
          <w:p w:rsidR="00854398" w:rsidRPr="00854398" w:rsidRDefault="00854398" w:rsidP="00854398">
            <w:pPr>
              <w:pStyle w:val="NoSpacing"/>
              <w:jc w:val="center"/>
              <w:rPr>
                <w:rFonts w:cs="Arial"/>
                <w:b/>
                <w:szCs w:val="24"/>
              </w:rPr>
            </w:pPr>
            <w:r w:rsidRPr="00854398">
              <w:rPr>
                <w:rFonts w:cs="Arial"/>
                <w:b/>
                <w:szCs w:val="24"/>
              </w:rPr>
              <w:t>Group One</w:t>
            </w:r>
          </w:p>
        </w:tc>
        <w:tc>
          <w:tcPr>
            <w:tcW w:w="4725" w:type="dxa"/>
          </w:tcPr>
          <w:p w:rsidR="00854398" w:rsidRPr="00854398" w:rsidRDefault="00854398" w:rsidP="00854398">
            <w:pPr>
              <w:pStyle w:val="NoSpacing"/>
              <w:jc w:val="center"/>
              <w:rPr>
                <w:rFonts w:cs="Arial"/>
                <w:b/>
                <w:szCs w:val="24"/>
              </w:rPr>
            </w:pPr>
            <w:r w:rsidRPr="00854398">
              <w:rPr>
                <w:rFonts w:cs="Arial"/>
                <w:b/>
                <w:szCs w:val="24"/>
              </w:rPr>
              <w:t>Group Two</w:t>
            </w:r>
          </w:p>
        </w:tc>
        <w:tc>
          <w:tcPr>
            <w:tcW w:w="4725" w:type="dxa"/>
          </w:tcPr>
          <w:p w:rsidR="00854398" w:rsidRPr="00854398" w:rsidRDefault="00854398" w:rsidP="00854398">
            <w:pPr>
              <w:pStyle w:val="NoSpacing"/>
              <w:jc w:val="center"/>
              <w:rPr>
                <w:rFonts w:cs="Arial"/>
                <w:b/>
                <w:szCs w:val="24"/>
              </w:rPr>
            </w:pPr>
            <w:r w:rsidRPr="00854398">
              <w:rPr>
                <w:rFonts w:cs="Arial"/>
                <w:b/>
                <w:szCs w:val="24"/>
              </w:rPr>
              <w:t>Group Three</w:t>
            </w:r>
          </w:p>
        </w:tc>
      </w:tr>
      <w:tr w:rsidR="00E633AA" w:rsidTr="00854398">
        <w:tc>
          <w:tcPr>
            <w:tcW w:w="4724" w:type="dxa"/>
            <w:vMerge w:val="restart"/>
          </w:tcPr>
          <w:p w:rsidR="00E633AA" w:rsidRDefault="00E633AA" w:rsidP="00854398">
            <w:pPr>
              <w:pStyle w:val="NoSpacing"/>
              <w:rPr>
                <w:rFonts w:cs="Arial"/>
                <w:szCs w:val="24"/>
              </w:rPr>
            </w:pPr>
            <w:r>
              <w:rPr>
                <w:rFonts w:cs="Arial"/>
                <w:szCs w:val="24"/>
              </w:rPr>
              <w:t>Bringing different communities within the area together</w:t>
            </w:r>
          </w:p>
          <w:p w:rsidR="00E633AA" w:rsidRDefault="00E633AA" w:rsidP="00854398">
            <w:pPr>
              <w:pStyle w:val="NoSpacing"/>
              <w:rPr>
                <w:rFonts w:cs="Arial"/>
                <w:szCs w:val="24"/>
              </w:rPr>
            </w:pPr>
          </w:p>
          <w:p w:rsidR="00E633AA" w:rsidRDefault="00E633AA" w:rsidP="00854398">
            <w:pPr>
              <w:pStyle w:val="NoSpacing"/>
              <w:rPr>
                <w:rFonts w:cs="Arial"/>
                <w:szCs w:val="24"/>
              </w:rPr>
            </w:pPr>
            <w:r>
              <w:rPr>
                <w:rFonts w:cs="Arial"/>
                <w:szCs w:val="24"/>
              </w:rPr>
              <w:t>Getting better use out of local parks and green spaces</w:t>
            </w:r>
          </w:p>
          <w:p w:rsidR="00E633AA" w:rsidRDefault="00E633AA" w:rsidP="00854398">
            <w:pPr>
              <w:pStyle w:val="NoSpacing"/>
              <w:rPr>
                <w:rFonts w:cs="Arial"/>
                <w:szCs w:val="24"/>
              </w:rPr>
            </w:pPr>
          </w:p>
          <w:p w:rsidR="00E633AA" w:rsidRDefault="00E633AA" w:rsidP="00854398">
            <w:pPr>
              <w:pStyle w:val="NoSpacing"/>
              <w:rPr>
                <w:rFonts w:cs="Arial"/>
                <w:szCs w:val="24"/>
              </w:rPr>
            </w:pPr>
            <w:r>
              <w:rPr>
                <w:rFonts w:cs="Arial"/>
                <w:szCs w:val="24"/>
              </w:rPr>
              <w:t>Encouraging local arts, crafts and music</w:t>
            </w:r>
          </w:p>
        </w:tc>
        <w:tc>
          <w:tcPr>
            <w:tcW w:w="4725" w:type="dxa"/>
          </w:tcPr>
          <w:p w:rsidR="00E633AA" w:rsidRDefault="00E633AA" w:rsidP="00854398">
            <w:pPr>
              <w:pStyle w:val="NoSpacing"/>
              <w:rPr>
                <w:rFonts w:cs="Arial"/>
                <w:szCs w:val="24"/>
              </w:rPr>
            </w:pPr>
            <w:r>
              <w:rPr>
                <w:rFonts w:cs="Arial"/>
                <w:szCs w:val="24"/>
              </w:rPr>
              <w:t>Improving and cleaning up the local environment</w:t>
            </w:r>
          </w:p>
        </w:tc>
        <w:tc>
          <w:tcPr>
            <w:tcW w:w="4725" w:type="dxa"/>
          </w:tcPr>
          <w:p w:rsidR="00E633AA" w:rsidRDefault="00E633AA" w:rsidP="00E633AA">
            <w:pPr>
              <w:pStyle w:val="NoSpacing"/>
              <w:rPr>
                <w:rFonts w:cs="Arial"/>
                <w:szCs w:val="24"/>
              </w:rPr>
            </w:pPr>
            <w:r>
              <w:rPr>
                <w:rFonts w:cs="Arial"/>
                <w:szCs w:val="24"/>
              </w:rPr>
              <w:t>Providing support and activities for older people</w:t>
            </w:r>
          </w:p>
        </w:tc>
      </w:tr>
      <w:tr w:rsidR="00E633AA" w:rsidTr="00854398">
        <w:tc>
          <w:tcPr>
            <w:tcW w:w="4724" w:type="dxa"/>
            <w:vMerge/>
          </w:tcPr>
          <w:p w:rsidR="00E633AA" w:rsidRDefault="00E633AA" w:rsidP="00854398">
            <w:pPr>
              <w:pStyle w:val="NoSpacing"/>
              <w:rPr>
                <w:rFonts w:cs="Arial"/>
                <w:szCs w:val="24"/>
              </w:rPr>
            </w:pPr>
          </w:p>
        </w:tc>
        <w:tc>
          <w:tcPr>
            <w:tcW w:w="4725" w:type="dxa"/>
          </w:tcPr>
          <w:p w:rsidR="00E633AA" w:rsidRDefault="00E633AA" w:rsidP="00E633AA">
            <w:pPr>
              <w:pStyle w:val="NoSpacing"/>
              <w:rPr>
                <w:rFonts w:cs="Arial"/>
                <w:szCs w:val="24"/>
              </w:rPr>
            </w:pPr>
            <w:r>
              <w:rPr>
                <w:rFonts w:cs="Arial"/>
                <w:szCs w:val="24"/>
              </w:rPr>
              <w:t>Getting better use out of local parks and green spaces</w:t>
            </w:r>
          </w:p>
        </w:tc>
        <w:tc>
          <w:tcPr>
            <w:tcW w:w="4725" w:type="dxa"/>
          </w:tcPr>
          <w:p w:rsidR="00E633AA" w:rsidRDefault="00E633AA" w:rsidP="00854398">
            <w:pPr>
              <w:pStyle w:val="NoSpacing"/>
              <w:rPr>
                <w:rFonts w:cs="Arial"/>
                <w:szCs w:val="24"/>
              </w:rPr>
            </w:pPr>
            <w:r>
              <w:rPr>
                <w:rFonts w:cs="Arial"/>
                <w:szCs w:val="24"/>
              </w:rPr>
              <w:t>Projects to improve health and encourage healthy lifestyles</w:t>
            </w:r>
          </w:p>
        </w:tc>
      </w:tr>
      <w:tr w:rsidR="00E633AA" w:rsidTr="00854398">
        <w:tc>
          <w:tcPr>
            <w:tcW w:w="4724" w:type="dxa"/>
            <w:vMerge/>
          </w:tcPr>
          <w:p w:rsidR="00E633AA" w:rsidRDefault="00E633AA" w:rsidP="00854398">
            <w:pPr>
              <w:pStyle w:val="NoSpacing"/>
              <w:rPr>
                <w:rFonts w:cs="Arial"/>
                <w:szCs w:val="24"/>
              </w:rPr>
            </w:pPr>
          </w:p>
        </w:tc>
        <w:tc>
          <w:tcPr>
            <w:tcW w:w="4725" w:type="dxa"/>
          </w:tcPr>
          <w:p w:rsidR="00E633AA" w:rsidRDefault="00E633AA" w:rsidP="00E633AA">
            <w:pPr>
              <w:pStyle w:val="NoSpacing"/>
              <w:rPr>
                <w:rFonts w:cs="Arial"/>
                <w:szCs w:val="24"/>
              </w:rPr>
            </w:pPr>
            <w:r>
              <w:rPr>
                <w:rFonts w:cs="Arial"/>
                <w:szCs w:val="24"/>
              </w:rPr>
              <w:t>Projects to improve health and encourage healthy lifestyles</w:t>
            </w:r>
          </w:p>
        </w:tc>
        <w:tc>
          <w:tcPr>
            <w:tcW w:w="4725" w:type="dxa"/>
          </w:tcPr>
          <w:p w:rsidR="00E633AA" w:rsidRDefault="00E633AA" w:rsidP="00E633AA">
            <w:pPr>
              <w:pStyle w:val="NoSpacing"/>
              <w:rPr>
                <w:rFonts w:cs="Arial"/>
                <w:szCs w:val="24"/>
              </w:rPr>
            </w:pPr>
            <w:r>
              <w:rPr>
                <w:rFonts w:cs="Arial"/>
                <w:szCs w:val="24"/>
              </w:rPr>
              <w:t>Bringing different communities within the area together</w:t>
            </w:r>
          </w:p>
          <w:p w:rsidR="00E633AA" w:rsidRDefault="00E633AA" w:rsidP="00854398">
            <w:pPr>
              <w:pStyle w:val="NoSpacing"/>
              <w:rPr>
                <w:rFonts w:cs="Arial"/>
                <w:szCs w:val="24"/>
              </w:rPr>
            </w:pPr>
          </w:p>
        </w:tc>
      </w:tr>
    </w:tbl>
    <w:p w:rsidR="001F4175" w:rsidRDefault="001F4175">
      <w:r>
        <w:br w:type="page"/>
      </w:r>
    </w:p>
    <w:tbl>
      <w:tblPr>
        <w:tblStyle w:val="TableGrid"/>
        <w:tblW w:w="0" w:type="auto"/>
        <w:tblLook w:val="04A0"/>
      </w:tblPr>
      <w:tblGrid>
        <w:gridCol w:w="4724"/>
        <w:gridCol w:w="4725"/>
        <w:gridCol w:w="4725"/>
      </w:tblGrid>
      <w:tr w:rsidR="00E633AA" w:rsidTr="00854398">
        <w:tc>
          <w:tcPr>
            <w:tcW w:w="4724" w:type="dxa"/>
            <w:vMerge w:val="restart"/>
          </w:tcPr>
          <w:p w:rsidR="00E633AA" w:rsidRDefault="001F4175" w:rsidP="001F4175">
            <w:pPr>
              <w:pStyle w:val="NoSpacing"/>
              <w:rPr>
                <w:rFonts w:cs="Arial"/>
                <w:szCs w:val="24"/>
              </w:rPr>
            </w:pPr>
            <w:r>
              <w:rPr>
                <w:rFonts w:cs="Arial"/>
                <w:szCs w:val="24"/>
              </w:rPr>
              <w:lastRenderedPageBreak/>
              <w:t>This group decided not exclude the r</w:t>
            </w:r>
            <w:r w:rsidR="00E633AA">
              <w:rPr>
                <w:rFonts w:cs="Arial"/>
                <w:szCs w:val="24"/>
              </w:rPr>
              <w:t xml:space="preserve">emaining priorities </w:t>
            </w:r>
            <w:r>
              <w:rPr>
                <w:rFonts w:cs="Arial"/>
                <w:szCs w:val="24"/>
              </w:rPr>
              <w:t>that had been suggested for consideration</w:t>
            </w:r>
          </w:p>
        </w:tc>
        <w:tc>
          <w:tcPr>
            <w:tcW w:w="4725" w:type="dxa"/>
            <w:vMerge w:val="restart"/>
          </w:tcPr>
          <w:p w:rsidR="00E633AA" w:rsidRDefault="00E633AA" w:rsidP="00854398">
            <w:pPr>
              <w:pStyle w:val="NoSpacing"/>
              <w:rPr>
                <w:rFonts w:cs="Arial"/>
                <w:szCs w:val="24"/>
              </w:rPr>
            </w:pPr>
            <w:r>
              <w:rPr>
                <w:rFonts w:cs="Arial"/>
                <w:szCs w:val="24"/>
              </w:rPr>
              <w:t>Providing support and activities for young children and their families</w:t>
            </w:r>
          </w:p>
          <w:p w:rsidR="00E633AA" w:rsidRDefault="00E633AA" w:rsidP="00854398">
            <w:pPr>
              <w:pStyle w:val="NoSpacing"/>
              <w:rPr>
                <w:rFonts w:cs="Arial"/>
                <w:szCs w:val="24"/>
              </w:rPr>
            </w:pPr>
          </w:p>
          <w:p w:rsidR="00E633AA" w:rsidRDefault="001F4175" w:rsidP="001F4175">
            <w:pPr>
              <w:pStyle w:val="NoSpacing"/>
              <w:rPr>
                <w:rFonts w:cs="Arial"/>
                <w:szCs w:val="24"/>
              </w:rPr>
            </w:pPr>
            <w:r>
              <w:rPr>
                <w:rFonts w:cs="Arial"/>
                <w:szCs w:val="24"/>
              </w:rPr>
              <w:t>Providing support</w:t>
            </w:r>
            <w:r w:rsidR="00E633AA">
              <w:rPr>
                <w:rFonts w:cs="Arial"/>
                <w:szCs w:val="24"/>
              </w:rPr>
              <w:t xml:space="preserve"> and activities for older people</w:t>
            </w:r>
          </w:p>
        </w:tc>
        <w:tc>
          <w:tcPr>
            <w:tcW w:w="4725" w:type="dxa"/>
          </w:tcPr>
          <w:p w:rsidR="00E633AA" w:rsidRDefault="00E633AA" w:rsidP="00854398">
            <w:pPr>
              <w:pStyle w:val="NoSpacing"/>
              <w:rPr>
                <w:rFonts w:cs="Arial"/>
                <w:szCs w:val="24"/>
              </w:rPr>
            </w:pPr>
            <w:r>
              <w:rPr>
                <w:rFonts w:cs="Arial"/>
                <w:szCs w:val="24"/>
              </w:rPr>
              <w:t>Addressing anti-social behaviour and crime</w:t>
            </w:r>
          </w:p>
        </w:tc>
      </w:tr>
      <w:tr w:rsidR="00E633AA" w:rsidTr="00854398">
        <w:tc>
          <w:tcPr>
            <w:tcW w:w="4724" w:type="dxa"/>
            <w:vMerge/>
          </w:tcPr>
          <w:p w:rsidR="00E633AA" w:rsidRDefault="00E633AA" w:rsidP="00854398">
            <w:pPr>
              <w:pStyle w:val="NoSpacing"/>
              <w:rPr>
                <w:rFonts w:cs="Arial"/>
                <w:szCs w:val="24"/>
              </w:rPr>
            </w:pPr>
          </w:p>
        </w:tc>
        <w:tc>
          <w:tcPr>
            <w:tcW w:w="4725" w:type="dxa"/>
            <w:vMerge/>
          </w:tcPr>
          <w:p w:rsidR="00E633AA" w:rsidRDefault="00E633AA" w:rsidP="00854398">
            <w:pPr>
              <w:pStyle w:val="NoSpacing"/>
              <w:rPr>
                <w:rFonts w:cs="Arial"/>
                <w:szCs w:val="24"/>
              </w:rPr>
            </w:pPr>
          </w:p>
        </w:tc>
        <w:tc>
          <w:tcPr>
            <w:tcW w:w="4725" w:type="dxa"/>
          </w:tcPr>
          <w:p w:rsidR="00E633AA" w:rsidRDefault="00E633AA" w:rsidP="00E633AA">
            <w:pPr>
              <w:pStyle w:val="NoSpacing"/>
              <w:rPr>
                <w:rFonts w:cs="Arial"/>
                <w:szCs w:val="24"/>
              </w:rPr>
            </w:pPr>
            <w:r>
              <w:rPr>
                <w:rFonts w:cs="Arial"/>
                <w:szCs w:val="24"/>
              </w:rPr>
              <w:t>Getting better use out of local parks and green spaces</w:t>
            </w:r>
          </w:p>
          <w:p w:rsidR="00E633AA" w:rsidRDefault="00E633AA" w:rsidP="00854398">
            <w:pPr>
              <w:pStyle w:val="NoSpacing"/>
              <w:rPr>
                <w:rFonts w:cs="Arial"/>
                <w:szCs w:val="24"/>
              </w:rPr>
            </w:pPr>
          </w:p>
        </w:tc>
      </w:tr>
      <w:tr w:rsidR="00E633AA" w:rsidTr="00854398">
        <w:tc>
          <w:tcPr>
            <w:tcW w:w="4724" w:type="dxa"/>
            <w:vMerge/>
          </w:tcPr>
          <w:p w:rsidR="00E633AA" w:rsidRDefault="00E633AA" w:rsidP="00854398">
            <w:pPr>
              <w:pStyle w:val="NoSpacing"/>
              <w:rPr>
                <w:rFonts w:cs="Arial"/>
                <w:szCs w:val="24"/>
              </w:rPr>
            </w:pPr>
          </w:p>
        </w:tc>
        <w:tc>
          <w:tcPr>
            <w:tcW w:w="4725" w:type="dxa"/>
          </w:tcPr>
          <w:p w:rsidR="00E633AA" w:rsidRDefault="00E633AA" w:rsidP="00854398">
            <w:pPr>
              <w:pStyle w:val="NoSpacing"/>
              <w:rPr>
                <w:rFonts w:cs="Arial"/>
                <w:szCs w:val="24"/>
              </w:rPr>
            </w:pPr>
            <w:r>
              <w:rPr>
                <w:rFonts w:cs="Arial"/>
                <w:szCs w:val="24"/>
              </w:rPr>
              <w:t>Encouraging local arts, crafts and music</w:t>
            </w:r>
          </w:p>
        </w:tc>
        <w:tc>
          <w:tcPr>
            <w:tcW w:w="4725" w:type="dxa"/>
          </w:tcPr>
          <w:p w:rsidR="00E633AA" w:rsidRDefault="00E633AA" w:rsidP="00854398">
            <w:pPr>
              <w:pStyle w:val="NoSpacing"/>
              <w:rPr>
                <w:rFonts w:cs="Arial"/>
                <w:szCs w:val="24"/>
              </w:rPr>
            </w:pPr>
            <w:r>
              <w:rPr>
                <w:rFonts w:cs="Arial"/>
                <w:szCs w:val="24"/>
              </w:rPr>
              <w:t>Encouraging local arts, crafts and music</w:t>
            </w:r>
          </w:p>
        </w:tc>
      </w:tr>
      <w:tr w:rsidR="00E633AA" w:rsidTr="00854398">
        <w:tc>
          <w:tcPr>
            <w:tcW w:w="4724" w:type="dxa"/>
            <w:vMerge/>
          </w:tcPr>
          <w:p w:rsidR="00E633AA" w:rsidRDefault="00E633AA" w:rsidP="00854398">
            <w:pPr>
              <w:pStyle w:val="NoSpacing"/>
              <w:rPr>
                <w:rFonts w:cs="Arial"/>
                <w:szCs w:val="24"/>
              </w:rPr>
            </w:pPr>
          </w:p>
        </w:tc>
        <w:tc>
          <w:tcPr>
            <w:tcW w:w="4725" w:type="dxa"/>
          </w:tcPr>
          <w:p w:rsidR="00E633AA" w:rsidRDefault="00E633AA" w:rsidP="00854398">
            <w:pPr>
              <w:pStyle w:val="NoSpacing"/>
              <w:rPr>
                <w:rFonts w:cs="Arial"/>
                <w:szCs w:val="24"/>
              </w:rPr>
            </w:pPr>
            <w:r>
              <w:rPr>
                <w:rFonts w:cs="Arial"/>
                <w:szCs w:val="24"/>
              </w:rPr>
              <w:t>Sustainable food initiatives</w:t>
            </w:r>
          </w:p>
        </w:tc>
        <w:tc>
          <w:tcPr>
            <w:tcW w:w="4725" w:type="dxa"/>
          </w:tcPr>
          <w:p w:rsidR="00E633AA" w:rsidRDefault="00E633AA" w:rsidP="00E633AA">
            <w:pPr>
              <w:pStyle w:val="NoSpacing"/>
              <w:rPr>
                <w:rFonts w:cs="Arial"/>
                <w:szCs w:val="24"/>
              </w:rPr>
            </w:pPr>
            <w:r>
              <w:rPr>
                <w:rFonts w:cs="Arial"/>
                <w:szCs w:val="24"/>
              </w:rPr>
              <w:t>Providing support and activities for young children and their families</w:t>
            </w:r>
          </w:p>
          <w:p w:rsidR="00E633AA" w:rsidRDefault="00E633AA" w:rsidP="00854398">
            <w:pPr>
              <w:pStyle w:val="NoSpacing"/>
              <w:rPr>
                <w:rFonts w:cs="Arial"/>
                <w:szCs w:val="24"/>
              </w:rPr>
            </w:pPr>
          </w:p>
        </w:tc>
      </w:tr>
      <w:tr w:rsidR="00E633AA" w:rsidTr="008C42A3">
        <w:trPr>
          <w:trHeight w:val="828"/>
        </w:trPr>
        <w:tc>
          <w:tcPr>
            <w:tcW w:w="4724" w:type="dxa"/>
            <w:vMerge/>
          </w:tcPr>
          <w:p w:rsidR="00E633AA" w:rsidRDefault="00E633AA" w:rsidP="00854398">
            <w:pPr>
              <w:pStyle w:val="NoSpacing"/>
              <w:rPr>
                <w:rFonts w:cs="Arial"/>
                <w:szCs w:val="24"/>
              </w:rPr>
            </w:pPr>
          </w:p>
        </w:tc>
        <w:tc>
          <w:tcPr>
            <w:tcW w:w="4725" w:type="dxa"/>
          </w:tcPr>
          <w:p w:rsidR="00E633AA" w:rsidRDefault="001F4175" w:rsidP="00854398">
            <w:pPr>
              <w:pStyle w:val="NoSpacing"/>
              <w:rPr>
                <w:rFonts w:cs="Arial"/>
                <w:szCs w:val="24"/>
              </w:rPr>
            </w:pPr>
            <w:r>
              <w:rPr>
                <w:rFonts w:cs="Arial"/>
                <w:szCs w:val="24"/>
              </w:rPr>
              <w:t xml:space="preserve">This group decided not exclude the remaining priorities that had been suggested for consideration </w:t>
            </w:r>
          </w:p>
        </w:tc>
        <w:tc>
          <w:tcPr>
            <w:tcW w:w="4725" w:type="dxa"/>
          </w:tcPr>
          <w:p w:rsidR="00E633AA" w:rsidRDefault="001F4175" w:rsidP="00854398">
            <w:pPr>
              <w:pStyle w:val="NoSpacing"/>
              <w:rPr>
                <w:rFonts w:cs="Arial"/>
                <w:szCs w:val="24"/>
              </w:rPr>
            </w:pPr>
            <w:r>
              <w:rPr>
                <w:rFonts w:cs="Arial"/>
                <w:szCs w:val="24"/>
              </w:rPr>
              <w:t>This group decided not exclude the remaining priorities that had been suggested for consideration</w:t>
            </w:r>
          </w:p>
        </w:tc>
      </w:tr>
    </w:tbl>
    <w:p w:rsidR="00854398" w:rsidRDefault="00854398" w:rsidP="00854398">
      <w:pPr>
        <w:pStyle w:val="NoSpacing"/>
        <w:rPr>
          <w:rFonts w:cs="Arial"/>
          <w:szCs w:val="24"/>
        </w:rPr>
      </w:pPr>
      <w:r>
        <w:rPr>
          <w:rFonts w:cs="Arial"/>
          <w:szCs w:val="24"/>
        </w:rPr>
        <w:t xml:space="preserve"> </w:t>
      </w:r>
    </w:p>
    <w:p w:rsidR="00854398" w:rsidRDefault="00E633AA" w:rsidP="00E633AA">
      <w:pPr>
        <w:pStyle w:val="NoSpacing"/>
      </w:pPr>
      <w:r>
        <w:t xml:space="preserve">Group </w:t>
      </w:r>
      <w:proofErr w:type="gramStart"/>
      <w:r>
        <w:t>One</w:t>
      </w:r>
      <w:proofErr w:type="gramEnd"/>
      <w:r>
        <w:t xml:space="preserve"> explained that they felt that other activities should be judged by how they fell into the three priorities they had retained.  A project for young people or one to tackle crime, for instance</w:t>
      </w:r>
      <w:r w:rsidR="005D5E22">
        <w:t>,</w:t>
      </w:r>
      <w:r>
        <w:t xml:space="preserve"> </w:t>
      </w:r>
      <w:r w:rsidR="005D5E22">
        <w:t>might</w:t>
      </w:r>
      <w:r>
        <w:t xml:space="preserve"> be approved if it contributed to the three prio</w:t>
      </w:r>
      <w:r w:rsidR="005D5E22">
        <w:t>r</w:t>
      </w:r>
      <w:r>
        <w:t>ities they had retained.</w:t>
      </w:r>
    </w:p>
    <w:p w:rsidR="00E633AA" w:rsidRDefault="00E633AA" w:rsidP="00E633AA">
      <w:pPr>
        <w:pStyle w:val="NoSpacing"/>
      </w:pPr>
    </w:p>
    <w:p w:rsidR="00E633AA" w:rsidRDefault="005D5E22" w:rsidP="00E633AA">
      <w:pPr>
        <w:pStyle w:val="NoSpacing"/>
      </w:pPr>
      <w:r>
        <w:t>Group Two said that they were not opposed to funding projects in the areas they had rejected, but that these should be considered as non-priority areas.</w:t>
      </w:r>
    </w:p>
    <w:p w:rsidR="005D5E22" w:rsidRDefault="005D5E22" w:rsidP="00E633AA">
      <w:pPr>
        <w:pStyle w:val="NoSpacing"/>
      </w:pPr>
    </w:p>
    <w:p w:rsidR="005D5E22" w:rsidRDefault="005D5E22" w:rsidP="00E633AA">
      <w:pPr>
        <w:pStyle w:val="NoSpacing"/>
      </w:pPr>
      <w:r>
        <w:t>The numbers participating and the widely different views of the three tables mean that there is little in this exercise to suggest any consensus about changing the programme priorities.  However, the newly suggested priority about getting better use out of parks and green spaces did receive support across the board.</w:t>
      </w:r>
    </w:p>
    <w:p w:rsidR="00260D8A" w:rsidRDefault="00260D8A">
      <w:r>
        <w:br w:type="page"/>
      </w:r>
    </w:p>
    <w:p w:rsidR="00F06D31" w:rsidRPr="00F06D31" w:rsidRDefault="00F06D31" w:rsidP="00F06D31">
      <w:pPr>
        <w:pStyle w:val="ListParagraph"/>
        <w:numPr>
          <w:ilvl w:val="0"/>
          <w:numId w:val="18"/>
        </w:numPr>
        <w:ind w:left="567" w:hanging="567"/>
        <w:rPr>
          <w:rFonts w:cs="Arial"/>
          <w:b/>
          <w:szCs w:val="24"/>
        </w:rPr>
      </w:pPr>
      <w:r w:rsidRPr="00F06D31">
        <w:rPr>
          <w:rFonts w:cs="Arial"/>
          <w:b/>
          <w:szCs w:val="24"/>
        </w:rPr>
        <w:lastRenderedPageBreak/>
        <w:t xml:space="preserve"> Conclusions</w:t>
      </w:r>
      <w:r w:rsidR="002415A9">
        <w:rPr>
          <w:rFonts w:cs="Arial"/>
          <w:b/>
          <w:szCs w:val="24"/>
        </w:rPr>
        <w:t xml:space="preserve"> and responses</w:t>
      </w:r>
    </w:p>
    <w:p w:rsidR="00260D8A" w:rsidRPr="00260D8A" w:rsidRDefault="008C42A3" w:rsidP="00260D8A">
      <w:pPr>
        <w:pStyle w:val="NoSpacing"/>
        <w:numPr>
          <w:ilvl w:val="0"/>
          <w:numId w:val="20"/>
        </w:numPr>
        <w:rPr>
          <w:rFonts w:cs="Arial"/>
          <w:szCs w:val="24"/>
        </w:rPr>
      </w:pPr>
      <w:r w:rsidRPr="00260D8A">
        <w:rPr>
          <w:rFonts w:cs="Arial"/>
          <w:szCs w:val="24"/>
        </w:rPr>
        <w:t xml:space="preserve">Although </w:t>
      </w:r>
      <w:r w:rsidR="00260D8A" w:rsidRPr="00260D8A">
        <w:rPr>
          <w:rFonts w:cs="Arial"/>
          <w:szCs w:val="24"/>
        </w:rPr>
        <w:t>some excellent projects have been supported during the first two years of the programme, the Panel recognises that to date the grant programme has weaknesses.  There has been a low level of applications, as a result of which the programme has lacked strategic impact.  A number of the applications we have received have been of poor quality or poorly targeted to the area.  We would hope that the BME sector</w:t>
      </w:r>
      <w:r w:rsidR="00260D8A">
        <w:rPr>
          <w:rFonts w:cs="Arial"/>
          <w:szCs w:val="24"/>
        </w:rPr>
        <w:t>,</w:t>
      </w:r>
      <w:r w:rsidR="00260D8A" w:rsidRPr="00260D8A">
        <w:rPr>
          <w:rFonts w:cs="Arial"/>
          <w:szCs w:val="24"/>
        </w:rPr>
        <w:t xml:space="preserve"> that has not to date received the benefit that the community profile might lead us to expect</w:t>
      </w:r>
      <w:r w:rsidR="00260D8A">
        <w:rPr>
          <w:rFonts w:cs="Arial"/>
          <w:szCs w:val="24"/>
        </w:rPr>
        <w:t>,</w:t>
      </w:r>
      <w:r w:rsidR="00260D8A" w:rsidRPr="00260D8A">
        <w:rPr>
          <w:rFonts w:cs="Arial"/>
          <w:szCs w:val="24"/>
        </w:rPr>
        <w:t xml:space="preserve"> would submit more appropriate applications in this next funding period. </w:t>
      </w:r>
      <w:r w:rsidR="00260D8A">
        <w:rPr>
          <w:rFonts w:cs="Arial"/>
          <w:szCs w:val="24"/>
        </w:rPr>
        <w:t xml:space="preserve"> </w:t>
      </w:r>
      <w:r w:rsidR="00260D8A" w:rsidRPr="00260D8A">
        <w:rPr>
          <w:rFonts w:cs="Arial"/>
          <w:szCs w:val="24"/>
        </w:rPr>
        <w:t xml:space="preserve">We will continue to </w:t>
      </w:r>
      <w:r w:rsidR="00260D8A">
        <w:rPr>
          <w:rFonts w:cs="Arial"/>
          <w:szCs w:val="24"/>
        </w:rPr>
        <w:t xml:space="preserve">work </w:t>
      </w:r>
      <w:r w:rsidR="00260D8A" w:rsidRPr="00260D8A">
        <w:rPr>
          <w:rFonts w:cs="Arial"/>
          <w:szCs w:val="24"/>
        </w:rPr>
        <w:t>proactively to widen the diversity on the Panel and attract additional members from different BME communities.</w:t>
      </w:r>
    </w:p>
    <w:p w:rsidR="00346B32" w:rsidRPr="00260D8A" w:rsidRDefault="00346B32" w:rsidP="00260D8A">
      <w:pPr>
        <w:pStyle w:val="NoSpacing"/>
        <w:ind w:left="720"/>
        <w:rPr>
          <w:rFonts w:cs="Arial"/>
          <w:szCs w:val="24"/>
        </w:rPr>
      </w:pPr>
    </w:p>
    <w:p w:rsidR="00346B32" w:rsidRDefault="00346B32" w:rsidP="00D73540">
      <w:pPr>
        <w:pStyle w:val="NoSpacing"/>
        <w:numPr>
          <w:ilvl w:val="0"/>
          <w:numId w:val="20"/>
        </w:numPr>
        <w:rPr>
          <w:rFonts w:cs="Arial"/>
          <w:szCs w:val="24"/>
        </w:rPr>
      </w:pPr>
      <w:r>
        <w:rPr>
          <w:rFonts w:cs="Arial"/>
          <w:szCs w:val="24"/>
        </w:rPr>
        <w:t>The priorities expressed at the outset of the programme are the right ones and are sufficiently flexible to accommodate creative thought and lateral thinking.  However, they may suffer from being too general. Therefore, to prompt ideas for new projects, we propose to replace them with the following statement of priorities:</w:t>
      </w:r>
    </w:p>
    <w:p w:rsidR="00346B32" w:rsidRDefault="00346B32" w:rsidP="00F06D31">
      <w:pPr>
        <w:pStyle w:val="NoSpacing"/>
        <w:rPr>
          <w:rFonts w:cs="Arial"/>
          <w:szCs w:val="24"/>
        </w:rPr>
      </w:pPr>
    </w:p>
    <w:p w:rsidR="00346B32" w:rsidRDefault="00346B32" w:rsidP="00D73540">
      <w:pPr>
        <w:pStyle w:val="NoSpacing"/>
        <w:numPr>
          <w:ilvl w:val="0"/>
          <w:numId w:val="21"/>
        </w:numPr>
        <w:ind w:left="1560" w:hanging="426"/>
        <w:rPr>
          <w:rFonts w:cs="Arial"/>
          <w:szCs w:val="24"/>
        </w:rPr>
      </w:pPr>
      <w:r w:rsidRPr="002A5210">
        <w:rPr>
          <w:rFonts w:cs="Arial"/>
          <w:szCs w:val="24"/>
        </w:rPr>
        <w:t xml:space="preserve">improving </w:t>
      </w:r>
      <w:r>
        <w:rPr>
          <w:rFonts w:cs="Arial"/>
          <w:szCs w:val="24"/>
        </w:rPr>
        <w:t xml:space="preserve">and cleaning up </w:t>
      </w:r>
      <w:r w:rsidRPr="002A5210">
        <w:rPr>
          <w:rFonts w:cs="Arial"/>
          <w:szCs w:val="24"/>
        </w:rPr>
        <w:t xml:space="preserve">the local </w:t>
      </w:r>
      <w:r>
        <w:rPr>
          <w:rFonts w:cs="Arial"/>
          <w:szCs w:val="24"/>
        </w:rPr>
        <w:t>environment</w:t>
      </w:r>
    </w:p>
    <w:p w:rsidR="00346B32" w:rsidRDefault="00346B32" w:rsidP="00D73540">
      <w:pPr>
        <w:pStyle w:val="NoSpacing"/>
        <w:numPr>
          <w:ilvl w:val="0"/>
          <w:numId w:val="21"/>
        </w:numPr>
        <w:ind w:left="1560" w:hanging="426"/>
        <w:rPr>
          <w:rFonts w:cs="Arial"/>
          <w:szCs w:val="24"/>
        </w:rPr>
      </w:pPr>
      <w:r>
        <w:rPr>
          <w:rFonts w:cs="Arial"/>
          <w:szCs w:val="24"/>
        </w:rPr>
        <w:t xml:space="preserve">encouraging better use </w:t>
      </w:r>
      <w:r w:rsidR="00385B59">
        <w:rPr>
          <w:rFonts w:cs="Arial"/>
          <w:szCs w:val="24"/>
        </w:rPr>
        <w:t xml:space="preserve">of </w:t>
      </w:r>
      <w:r>
        <w:rPr>
          <w:rFonts w:cs="Arial"/>
          <w:szCs w:val="24"/>
        </w:rPr>
        <w:t>our local parks and green spaces</w:t>
      </w:r>
    </w:p>
    <w:p w:rsidR="00346B32" w:rsidRDefault="00346B32" w:rsidP="00D73540">
      <w:pPr>
        <w:pStyle w:val="NoSpacing"/>
        <w:numPr>
          <w:ilvl w:val="0"/>
          <w:numId w:val="21"/>
        </w:numPr>
        <w:ind w:left="1560" w:hanging="426"/>
        <w:rPr>
          <w:rFonts w:cs="Arial"/>
          <w:szCs w:val="24"/>
        </w:rPr>
      </w:pPr>
      <w:r w:rsidRPr="00346B32">
        <w:rPr>
          <w:rFonts w:cs="Arial"/>
          <w:szCs w:val="24"/>
        </w:rPr>
        <w:t xml:space="preserve">supporting local artistic and sporting activities and increasing the range of activities, opportunities and support for all </w:t>
      </w:r>
    </w:p>
    <w:p w:rsidR="00385B59" w:rsidRPr="00346B32" w:rsidRDefault="00385B59" w:rsidP="00D73540">
      <w:pPr>
        <w:pStyle w:val="NoSpacing"/>
        <w:numPr>
          <w:ilvl w:val="0"/>
          <w:numId w:val="21"/>
        </w:numPr>
        <w:ind w:left="1560" w:hanging="426"/>
        <w:rPr>
          <w:rFonts w:cs="Arial"/>
          <w:szCs w:val="24"/>
        </w:rPr>
      </w:pPr>
      <w:r>
        <w:rPr>
          <w:rFonts w:cs="Arial"/>
          <w:szCs w:val="24"/>
        </w:rPr>
        <w:t>supporting the diverse communities of the area and bringing them closer together</w:t>
      </w:r>
    </w:p>
    <w:p w:rsidR="00346B32" w:rsidRPr="002A5210" w:rsidRDefault="00346B32" w:rsidP="00D73540">
      <w:pPr>
        <w:pStyle w:val="NoSpacing"/>
        <w:numPr>
          <w:ilvl w:val="0"/>
          <w:numId w:val="21"/>
        </w:numPr>
        <w:ind w:left="1560" w:hanging="426"/>
        <w:rPr>
          <w:rFonts w:cs="Arial"/>
          <w:szCs w:val="24"/>
        </w:rPr>
      </w:pPr>
      <w:r w:rsidRPr="002A5210">
        <w:rPr>
          <w:rFonts w:cs="Arial"/>
          <w:szCs w:val="24"/>
        </w:rPr>
        <w:t>reducing the fear of anti-social behaviour and crime</w:t>
      </w:r>
    </w:p>
    <w:p w:rsidR="00346B32" w:rsidRPr="002A5210" w:rsidRDefault="00346B32" w:rsidP="00D73540">
      <w:pPr>
        <w:pStyle w:val="NoSpacing"/>
        <w:numPr>
          <w:ilvl w:val="0"/>
          <w:numId w:val="21"/>
        </w:numPr>
        <w:ind w:left="1560" w:hanging="426"/>
        <w:rPr>
          <w:rFonts w:cs="Arial"/>
          <w:szCs w:val="24"/>
        </w:rPr>
      </w:pPr>
      <w:r w:rsidRPr="002A5210">
        <w:rPr>
          <w:rFonts w:cs="Arial"/>
          <w:szCs w:val="24"/>
        </w:rPr>
        <w:t xml:space="preserve">improving well-being </w:t>
      </w:r>
      <w:r w:rsidR="00385B59">
        <w:rPr>
          <w:rFonts w:cs="Arial"/>
          <w:szCs w:val="24"/>
        </w:rPr>
        <w:t xml:space="preserve">and quality </w:t>
      </w:r>
      <w:r w:rsidRPr="002A5210">
        <w:rPr>
          <w:rFonts w:cs="Arial"/>
          <w:szCs w:val="24"/>
        </w:rPr>
        <w:t xml:space="preserve">of </w:t>
      </w:r>
      <w:r w:rsidR="00385B59">
        <w:rPr>
          <w:rFonts w:cs="Arial"/>
          <w:szCs w:val="24"/>
        </w:rPr>
        <w:t xml:space="preserve">life for </w:t>
      </w:r>
      <w:r w:rsidRPr="002A5210">
        <w:rPr>
          <w:rFonts w:cs="Arial"/>
          <w:szCs w:val="24"/>
        </w:rPr>
        <w:t>local people</w:t>
      </w:r>
    </w:p>
    <w:p w:rsidR="002415A9" w:rsidRDefault="002415A9" w:rsidP="00F06D31">
      <w:pPr>
        <w:pStyle w:val="NoSpacing"/>
        <w:rPr>
          <w:rFonts w:cs="Arial"/>
          <w:szCs w:val="24"/>
        </w:rPr>
      </w:pPr>
    </w:p>
    <w:p w:rsidR="00A60B71" w:rsidRDefault="00385B59" w:rsidP="00D73540">
      <w:pPr>
        <w:pStyle w:val="NoSpacing"/>
        <w:numPr>
          <w:ilvl w:val="0"/>
          <w:numId w:val="20"/>
        </w:numPr>
        <w:rPr>
          <w:rFonts w:cs="Arial"/>
          <w:szCs w:val="24"/>
        </w:rPr>
      </w:pPr>
      <w:r>
        <w:rPr>
          <w:rFonts w:cs="Arial"/>
          <w:szCs w:val="24"/>
        </w:rPr>
        <w:t xml:space="preserve">In </w:t>
      </w:r>
      <w:r w:rsidR="00260D8A">
        <w:rPr>
          <w:rFonts w:cs="Arial"/>
          <w:szCs w:val="24"/>
        </w:rPr>
        <w:t>order to make the application process more accessible we have already changed the process by including more information about priorities and the information we will require on our website. We have made it possible for applications to be submitted via electronic forms and have made discussion with the Panel</w:t>
      </w:r>
      <w:r w:rsidR="00260D8A" w:rsidRPr="009B62B2">
        <w:rPr>
          <w:rFonts w:cs="Arial"/>
          <w:color w:val="FF0000"/>
          <w:szCs w:val="24"/>
        </w:rPr>
        <w:t xml:space="preserve"> </w:t>
      </w:r>
      <w:r w:rsidR="00260D8A">
        <w:rPr>
          <w:rFonts w:cs="Arial"/>
          <w:szCs w:val="24"/>
        </w:rPr>
        <w:t>a central part of the process.</w:t>
      </w:r>
    </w:p>
    <w:p w:rsidR="00A60B71" w:rsidRDefault="00A60B71" w:rsidP="00F06D31">
      <w:pPr>
        <w:pStyle w:val="NoSpacing"/>
        <w:rPr>
          <w:rFonts w:cs="Arial"/>
          <w:szCs w:val="24"/>
        </w:rPr>
      </w:pPr>
    </w:p>
    <w:p w:rsidR="00385B59" w:rsidRDefault="00A60B71" w:rsidP="00D73540">
      <w:pPr>
        <w:pStyle w:val="NoSpacing"/>
        <w:numPr>
          <w:ilvl w:val="0"/>
          <w:numId w:val="20"/>
        </w:numPr>
        <w:rPr>
          <w:rFonts w:cs="Arial"/>
          <w:szCs w:val="24"/>
        </w:rPr>
      </w:pPr>
      <w:r>
        <w:rPr>
          <w:rFonts w:cs="Arial"/>
          <w:szCs w:val="24"/>
        </w:rPr>
        <w:t xml:space="preserve">We will also seek to make the programme better known through online platforms, press releases and advertising it through Voluntary and Community Sector channels. We will explore the idea of a </w:t>
      </w:r>
      <w:r w:rsidR="00D73540">
        <w:rPr>
          <w:rFonts w:cs="Arial"/>
          <w:szCs w:val="24"/>
        </w:rPr>
        <w:t xml:space="preserve">joint </w:t>
      </w:r>
      <w:r>
        <w:rPr>
          <w:rFonts w:cs="Arial"/>
          <w:szCs w:val="24"/>
        </w:rPr>
        <w:t xml:space="preserve">workshop for the sector </w:t>
      </w:r>
      <w:r w:rsidR="00D73540">
        <w:rPr>
          <w:rFonts w:cs="Arial"/>
          <w:szCs w:val="24"/>
        </w:rPr>
        <w:t xml:space="preserve">with other Community First programmes in the town with </w:t>
      </w:r>
      <w:r w:rsidR="00260D8A">
        <w:rPr>
          <w:rFonts w:cs="Arial"/>
          <w:szCs w:val="24"/>
        </w:rPr>
        <w:t xml:space="preserve">the </w:t>
      </w:r>
      <w:r w:rsidR="00D73540">
        <w:rPr>
          <w:rFonts w:cs="Arial"/>
          <w:szCs w:val="24"/>
        </w:rPr>
        <w:t>Northampton Volunteer Centre.</w:t>
      </w:r>
      <w:r w:rsidR="00260D8A">
        <w:rPr>
          <w:rFonts w:cs="Arial"/>
          <w:szCs w:val="24"/>
        </w:rPr>
        <w:t xml:space="preserve"> </w:t>
      </w:r>
    </w:p>
    <w:p w:rsidR="00D73540" w:rsidRDefault="00D73540" w:rsidP="00F06D31">
      <w:pPr>
        <w:pStyle w:val="NoSpacing"/>
        <w:rPr>
          <w:rFonts w:cs="Arial"/>
          <w:szCs w:val="24"/>
        </w:rPr>
      </w:pPr>
    </w:p>
    <w:p w:rsidR="00D73540" w:rsidRDefault="00D73540" w:rsidP="00D73540">
      <w:pPr>
        <w:pStyle w:val="NoSpacing"/>
        <w:numPr>
          <w:ilvl w:val="0"/>
          <w:numId w:val="20"/>
        </w:numPr>
        <w:rPr>
          <w:rFonts w:cs="Arial"/>
          <w:szCs w:val="24"/>
        </w:rPr>
      </w:pPr>
      <w:r>
        <w:rPr>
          <w:rFonts w:cs="Arial"/>
          <w:szCs w:val="24"/>
        </w:rPr>
        <w:t xml:space="preserve">We will also consider a proactive commissioning approach to encourage organisations with suitable capacity to undertake projects that the Panel feel would advance priorities not being addressed as much as we would like.  Recognising the difficulties that the match requirement creates for potential applicants, we would target organisations that either have a high </w:t>
      </w:r>
      <w:r>
        <w:rPr>
          <w:rFonts w:cs="Arial"/>
          <w:szCs w:val="24"/>
        </w:rPr>
        <w:lastRenderedPageBreak/>
        <w:t>level of volunteer support or larger organisations that would be able to match some of their core functions (e.g. management oversight and apportionment of office costs) against the direct cost of a new project.</w:t>
      </w:r>
    </w:p>
    <w:p w:rsidR="00385B59" w:rsidRDefault="00385B59" w:rsidP="00F06D31">
      <w:pPr>
        <w:pStyle w:val="NoSpacing"/>
        <w:rPr>
          <w:rFonts w:cs="Arial"/>
          <w:szCs w:val="24"/>
        </w:rPr>
      </w:pPr>
    </w:p>
    <w:p w:rsidR="00F06D31" w:rsidRDefault="00D73540" w:rsidP="00D73540">
      <w:pPr>
        <w:pStyle w:val="NoSpacing"/>
        <w:numPr>
          <w:ilvl w:val="0"/>
          <w:numId w:val="20"/>
        </w:numPr>
        <w:rPr>
          <w:rFonts w:cs="Arial"/>
          <w:szCs w:val="24"/>
        </w:rPr>
      </w:pPr>
      <w:r>
        <w:rPr>
          <w:rFonts w:cs="Arial"/>
          <w:szCs w:val="24"/>
        </w:rPr>
        <w:t xml:space="preserve">The community profiling and IMD data </w:t>
      </w:r>
      <w:r w:rsidR="00F06D31">
        <w:rPr>
          <w:rFonts w:cs="Arial"/>
          <w:szCs w:val="24"/>
        </w:rPr>
        <w:t xml:space="preserve">suggest that </w:t>
      </w:r>
      <w:r>
        <w:rPr>
          <w:rFonts w:cs="Arial"/>
          <w:szCs w:val="24"/>
        </w:rPr>
        <w:t>such proactive</w:t>
      </w:r>
      <w:r w:rsidR="00F06D31">
        <w:rPr>
          <w:rFonts w:cs="Arial"/>
          <w:szCs w:val="24"/>
        </w:rPr>
        <w:t xml:space="preserve"> targeting of Community First resources may be </w:t>
      </w:r>
      <w:r>
        <w:rPr>
          <w:rFonts w:cs="Arial"/>
          <w:szCs w:val="24"/>
        </w:rPr>
        <w:t xml:space="preserve">most </w:t>
      </w:r>
      <w:r w:rsidR="00F06D31">
        <w:rPr>
          <w:rFonts w:cs="Arial"/>
          <w:szCs w:val="24"/>
        </w:rPr>
        <w:t>appropriate towards:</w:t>
      </w:r>
    </w:p>
    <w:p w:rsidR="00F06D31" w:rsidRDefault="00F06D31" w:rsidP="00F06D31">
      <w:pPr>
        <w:pStyle w:val="NoSpacing"/>
        <w:rPr>
          <w:rFonts w:cs="Arial"/>
          <w:szCs w:val="24"/>
        </w:rPr>
      </w:pPr>
    </w:p>
    <w:p w:rsidR="00F06D31" w:rsidRDefault="00F06D31" w:rsidP="00D73540">
      <w:pPr>
        <w:pStyle w:val="NoSpacing"/>
        <w:numPr>
          <w:ilvl w:val="0"/>
          <w:numId w:val="22"/>
        </w:numPr>
        <w:ind w:left="1560" w:hanging="426"/>
        <w:rPr>
          <w:rFonts w:cs="Arial"/>
          <w:szCs w:val="24"/>
        </w:rPr>
      </w:pPr>
      <w:r>
        <w:rPr>
          <w:rFonts w:cs="Arial"/>
          <w:szCs w:val="24"/>
        </w:rPr>
        <w:t xml:space="preserve">the </w:t>
      </w:r>
      <w:r w:rsidR="00D73540">
        <w:rPr>
          <w:rFonts w:cs="Arial"/>
          <w:szCs w:val="24"/>
        </w:rPr>
        <w:t>are</w:t>
      </w:r>
      <w:r w:rsidR="00260D8A">
        <w:rPr>
          <w:rFonts w:cs="Arial"/>
          <w:szCs w:val="24"/>
        </w:rPr>
        <w:t>a</w:t>
      </w:r>
      <w:r>
        <w:rPr>
          <w:rFonts w:cs="Arial"/>
          <w:szCs w:val="24"/>
        </w:rPr>
        <w:t xml:space="preserve"> located e</w:t>
      </w:r>
      <w:r w:rsidRPr="00FD1984">
        <w:rPr>
          <w:rFonts w:cs="Arial"/>
          <w:szCs w:val="24"/>
        </w:rPr>
        <w:t>ast of Kett</w:t>
      </w:r>
      <w:r>
        <w:rPr>
          <w:rFonts w:cs="Arial"/>
          <w:szCs w:val="24"/>
        </w:rPr>
        <w:t>ering Road</w:t>
      </w:r>
      <w:r w:rsidRPr="00FD1984">
        <w:rPr>
          <w:rFonts w:cs="Arial"/>
          <w:szCs w:val="24"/>
        </w:rPr>
        <w:t xml:space="preserve"> Rd</w:t>
      </w:r>
      <w:r>
        <w:rPr>
          <w:rFonts w:cs="Arial"/>
          <w:szCs w:val="24"/>
        </w:rPr>
        <w:t>, including the PEMBA estate</w:t>
      </w:r>
      <w:r w:rsidR="00D73540">
        <w:rPr>
          <w:rFonts w:cs="Arial"/>
          <w:szCs w:val="24"/>
        </w:rPr>
        <w:t>,</w:t>
      </w:r>
      <w:r>
        <w:rPr>
          <w:rFonts w:cs="Arial"/>
          <w:szCs w:val="24"/>
        </w:rPr>
        <w:t xml:space="preserve"> and the one bounded by Vernon Terrace, Billing Road, Wellingborough Road and the cemetery </w:t>
      </w:r>
    </w:p>
    <w:p w:rsidR="00D73540" w:rsidRDefault="00D73540" w:rsidP="00D73540">
      <w:pPr>
        <w:pStyle w:val="NoSpacing"/>
        <w:numPr>
          <w:ilvl w:val="0"/>
          <w:numId w:val="22"/>
        </w:numPr>
        <w:ind w:left="1560" w:hanging="426"/>
        <w:rPr>
          <w:rFonts w:cs="Arial"/>
          <w:szCs w:val="24"/>
        </w:rPr>
      </w:pPr>
      <w:r>
        <w:rPr>
          <w:rFonts w:cs="Arial"/>
          <w:szCs w:val="24"/>
        </w:rPr>
        <w:t>local BME communities</w:t>
      </w:r>
    </w:p>
    <w:p w:rsidR="00B64B6B" w:rsidRDefault="00F06D31" w:rsidP="00D73540">
      <w:pPr>
        <w:pStyle w:val="NoSpacing"/>
        <w:numPr>
          <w:ilvl w:val="0"/>
          <w:numId w:val="22"/>
        </w:numPr>
        <w:ind w:left="1560" w:hanging="426"/>
        <w:rPr>
          <w:rFonts w:cs="Arial"/>
          <w:szCs w:val="24"/>
        </w:rPr>
      </w:pPr>
      <w:r>
        <w:rPr>
          <w:rFonts w:cs="Arial"/>
          <w:szCs w:val="24"/>
        </w:rPr>
        <w:t xml:space="preserve">maximising the accessibility and positive use of the open spaces located </w:t>
      </w:r>
      <w:r w:rsidR="00D73540">
        <w:rPr>
          <w:rFonts w:cs="Arial"/>
          <w:szCs w:val="24"/>
        </w:rPr>
        <w:t xml:space="preserve">in and </w:t>
      </w:r>
      <w:r>
        <w:rPr>
          <w:rFonts w:cs="Arial"/>
          <w:szCs w:val="24"/>
        </w:rPr>
        <w:t>close to the area</w:t>
      </w:r>
    </w:p>
    <w:p w:rsidR="00B64B6B" w:rsidRDefault="00B64B6B">
      <w:pPr>
        <w:rPr>
          <w:rFonts w:cs="Arial"/>
          <w:szCs w:val="24"/>
        </w:rPr>
      </w:pPr>
      <w:r>
        <w:rPr>
          <w:rFonts w:cs="Arial"/>
          <w:szCs w:val="24"/>
        </w:rPr>
        <w:br w:type="page"/>
      </w:r>
    </w:p>
    <w:p w:rsidR="00F06D31" w:rsidRPr="00B64B6B" w:rsidRDefault="00B64B6B" w:rsidP="00B64B6B">
      <w:pPr>
        <w:pStyle w:val="NoSpacing"/>
        <w:rPr>
          <w:rFonts w:cs="Arial"/>
          <w:b/>
          <w:szCs w:val="24"/>
        </w:rPr>
      </w:pPr>
      <w:r w:rsidRPr="00B64B6B">
        <w:rPr>
          <w:rFonts w:cs="Arial"/>
          <w:b/>
          <w:szCs w:val="24"/>
        </w:rPr>
        <w:lastRenderedPageBreak/>
        <w:t>APPENDIX</w:t>
      </w:r>
    </w:p>
    <w:p w:rsidR="00B64B6B" w:rsidRDefault="00B64B6B" w:rsidP="00B64B6B">
      <w:pPr>
        <w:pStyle w:val="NoSpacing"/>
        <w:rPr>
          <w:rFonts w:cs="Arial"/>
          <w:szCs w:val="24"/>
        </w:rPr>
      </w:pPr>
    </w:p>
    <w:p w:rsidR="00B64B6B" w:rsidRPr="00B64B6B" w:rsidRDefault="00B64B6B" w:rsidP="00B64B6B">
      <w:pPr>
        <w:pStyle w:val="NoSpacing"/>
        <w:rPr>
          <w:rFonts w:cs="Arial"/>
          <w:szCs w:val="24"/>
        </w:rPr>
      </w:pPr>
      <w:r w:rsidRPr="00B64B6B">
        <w:rPr>
          <w:rFonts w:cs="Arial"/>
          <w:szCs w:val="24"/>
        </w:rPr>
        <w:t>Voluntary and Community Organisations attending or registering for the two consultation events</w:t>
      </w:r>
    </w:p>
    <w:p w:rsidR="00B64B6B" w:rsidRDefault="00B64B6B" w:rsidP="00B64B6B">
      <w:pPr>
        <w:pStyle w:val="NoSpacing"/>
        <w:rPr>
          <w:rFonts w:cs="Arial"/>
          <w:szCs w:val="24"/>
        </w:rPr>
      </w:pPr>
    </w:p>
    <w:tbl>
      <w:tblPr>
        <w:tblStyle w:val="TableGrid"/>
        <w:tblW w:w="0" w:type="auto"/>
        <w:tblLook w:val="04A0"/>
      </w:tblPr>
      <w:tblGrid>
        <w:gridCol w:w="7087"/>
        <w:gridCol w:w="7087"/>
      </w:tblGrid>
      <w:tr w:rsidR="00B64B6B" w:rsidTr="00B64B6B">
        <w:tc>
          <w:tcPr>
            <w:tcW w:w="7087" w:type="dxa"/>
          </w:tcPr>
          <w:p w:rsidR="00B64B6B" w:rsidRPr="00B64B6B" w:rsidRDefault="00B64B6B" w:rsidP="00B64B6B">
            <w:pPr>
              <w:pStyle w:val="NoSpacing"/>
              <w:jc w:val="center"/>
              <w:rPr>
                <w:rFonts w:cs="Arial"/>
                <w:b/>
                <w:szCs w:val="24"/>
              </w:rPr>
            </w:pPr>
            <w:r w:rsidRPr="00B64B6B">
              <w:rPr>
                <w:rFonts w:cs="Arial"/>
                <w:b/>
                <w:szCs w:val="24"/>
              </w:rPr>
              <w:t>BME communities event</w:t>
            </w:r>
          </w:p>
        </w:tc>
        <w:tc>
          <w:tcPr>
            <w:tcW w:w="7087" w:type="dxa"/>
          </w:tcPr>
          <w:p w:rsidR="00B64B6B" w:rsidRPr="00B64B6B" w:rsidRDefault="00B64B6B" w:rsidP="00B64B6B">
            <w:pPr>
              <w:pStyle w:val="NoSpacing"/>
              <w:jc w:val="center"/>
              <w:rPr>
                <w:rFonts w:cs="Arial"/>
                <w:b/>
                <w:szCs w:val="24"/>
              </w:rPr>
            </w:pPr>
            <w:r w:rsidRPr="00B64B6B">
              <w:rPr>
                <w:rFonts w:cs="Arial"/>
                <w:b/>
                <w:szCs w:val="24"/>
              </w:rPr>
              <w:t>Stakeholder event</w:t>
            </w:r>
          </w:p>
        </w:tc>
      </w:tr>
      <w:tr w:rsidR="00B64B6B" w:rsidTr="00B64B6B">
        <w:tc>
          <w:tcPr>
            <w:tcW w:w="7087" w:type="dxa"/>
          </w:tcPr>
          <w:p w:rsidR="00B64B6B" w:rsidRDefault="00B64B6B" w:rsidP="005D5E22">
            <w:pPr>
              <w:pStyle w:val="NoSpacing"/>
              <w:rPr>
                <w:rFonts w:cs="Arial"/>
                <w:szCs w:val="24"/>
              </w:rPr>
            </w:pPr>
            <w:r>
              <w:rPr>
                <w:rFonts w:cs="Arial"/>
                <w:szCs w:val="24"/>
              </w:rPr>
              <w:t>Indi-Theatre</w:t>
            </w:r>
          </w:p>
        </w:tc>
        <w:tc>
          <w:tcPr>
            <w:tcW w:w="7087" w:type="dxa"/>
          </w:tcPr>
          <w:p w:rsidR="00B64B6B" w:rsidRDefault="00B64B6B" w:rsidP="005D5E22">
            <w:pPr>
              <w:pStyle w:val="NoSpacing"/>
              <w:rPr>
                <w:rFonts w:cs="Arial"/>
                <w:szCs w:val="24"/>
              </w:rPr>
            </w:pPr>
            <w:r>
              <w:rPr>
                <w:rFonts w:cs="Arial"/>
                <w:szCs w:val="24"/>
              </w:rPr>
              <w:t>St. Edmund’s Residents Association</w:t>
            </w:r>
          </w:p>
        </w:tc>
      </w:tr>
      <w:tr w:rsidR="00B64B6B" w:rsidTr="00B64B6B">
        <w:tc>
          <w:tcPr>
            <w:tcW w:w="7087" w:type="dxa"/>
          </w:tcPr>
          <w:p w:rsidR="00B64B6B" w:rsidRDefault="00B64B6B" w:rsidP="005D5E22">
            <w:pPr>
              <w:pStyle w:val="NoSpacing"/>
              <w:rPr>
                <w:rFonts w:cs="Arial"/>
                <w:szCs w:val="24"/>
              </w:rPr>
            </w:pPr>
            <w:r>
              <w:rPr>
                <w:rFonts w:cs="Arial"/>
                <w:szCs w:val="24"/>
              </w:rPr>
              <w:t>New Testament Church of God</w:t>
            </w:r>
          </w:p>
        </w:tc>
        <w:tc>
          <w:tcPr>
            <w:tcW w:w="7087" w:type="dxa"/>
          </w:tcPr>
          <w:p w:rsidR="00B64B6B" w:rsidRDefault="00B64B6B" w:rsidP="005D5E22">
            <w:pPr>
              <w:pStyle w:val="NoSpacing"/>
              <w:rPr>
                <w:rFonts w:cs="Arial"/>
                <w:szCs w:val="24"/>
              </w:rPr>
            </w:pPr>
            <w:r>
              <w:rPr>
                <w:rFonts w:cs="Arial"/>
                <w:szCs w:val="24"/>
              </w:rPr>
              <w:t>Community Courtyard</w:t>
            </w:r>
          </w:p>
        </w:tc>
      </w:tr>
      <w:tr w:rsidR="00B64B6B" w:rsidTr="00B64B6B">
        <w:tc>
          <w:tcPr>
            <w:tcW w:w="7087" w:type="dxa"/>
          </w:tcPr>
          <w:p w:rsidR="00B64B6B" w:rsidRDefault="00B64B6B" w:rsidP="00B64B6B">
            <w:pPr>
              <w:pStyle w:val="NoSpacing"/>
              <w:rPr>
                <w:rFonts w:cs="Arial"/>
                <w:szCs w:val="24"/>
              </w:rPr>
            </w:pPr>
            <w:proofErr w:type="spellStart"/>
            <w:r>
              <w:rPr>
                <w:rFonts w:cs="Arial"/>
                <w:szCs w:val="24"/>
              </w:rPr>
              <w:t>Sumaiya</w:t>
            </w:r>
            <w:proofErr w:type="spellEnd"/>
            <w:r>
              <w:rPr>
                <w:rFonts w:cs="Arial"/>
                <w:szCs w:val="24"/>
              </w:rPr>
              <w:t xml:space="preserve"> Women’s Forum (Northampton Bangladesh Association)</w:t>
            </w:r>
          </w:p>
        </w:tc>
        <w:tc>
          <w:tcPr>
            <w:tcW w:w="7087" w:type="dxa"/>
          </w:tcPr>
          <w:p w:rsidR="00B64B6B" w:rsidRDefault="00B64B6B" w:rsidP="005D5E22">
            <w:pPr>
              <w:pStyle w:val="NoSpacing"/>
              <w:rPr>
                <w:rFonts w:cs="Arial"/>
                <w:szCs w:val="24"/>
              </w:rPr>
            </w:pPr>
            <w:r>
              <w:rPr>
                <w:rFonts w:cs="Arial"/>
                <w:szCs w:val="24"/>
              </w:rPr>
              <w:t>Gerald Porter Arts</w:t>
            </w:r>
          </w:p>
        </w:tc>
      </w:tr>
      <w:tr w:rsidR="00B64B6B" w:rsidRPr="00B64B6B" w:rsidTr="00B64B6B">
        <w:tc>
          <w:tcPr>
            <w:tcW w:w="7087" w:type="dxa"/>
          </w:tcPr>
          <w:p w:rsidR="00B64B6B" w:rsidRPr="00B64B6B" w:rsidRDefault="00B64B6B" w:rsidP="005D5E22">
            <w:pPr>
              <w:pStyle w:val="NoSpacing"/>
              <w:rPr>
                <w:rFonts w:cs="Arial"/>
                <w:szCs w:val="24"/>
                <w:lang w:val="fr-RE"/>
              </w:rPr>
            </w:pPr>
            <w:r w:rsidRPr="00B64B6B">
              <w:rPr>
                <w:rFonts w:cs="Arial"/>
                <w:szCs w:val="24"/>
              </w:rPr>
              <w:t xml:space="preserve">Northampton Carnival Association </w:t>
            </w:r>
            <w:proofErr w:type="spellStart"/>
            <w:r>
              <w:rPr>
                <w:rFonts w:cs="Arial"/>
                <w:szCs w:val="24"/>
                <w:lang w:val="fr-RE"/>
              </w:rPr>
              <w:t>Committee</w:t>
            </w:r>
            <w:proofErr w:type="spellEnd"/>
          </w:p>
        </w:tc>
        <w:tc>
          <w:tcPr>
            <w:tcW w:w="7087" w:type="dxa"/>
          </w:tcPr>
          <w:p w:rsidR="00B64B6B" w:rsidRPr="00B64B6B" w:rsidRDefault="00B64B6B" w:rsidP="005D5E22">
            <w:pPr>
              <w:pStyle w:val="NoSpacing"/>
              <w:rPr>
                <w:rFonts w:cs="Arial"/>
                <w:szCs w:val="24"/>
                <w:lang w:val="fr-RE"/>
              </w:rPr>
            </w:pPr>
            <w:proofErr w:type="spellStart"/>
            <w:r>
              <w:rPr>
                <w:rFonts w:cs="Arial"/>
                <w:szCs w:val="24"/>
                <w:lang w:val="fr-RE"/>
              </w:rPr>
              <w:t>Umbrella</w:t>
            </w:r>
            <w:proofErr w:type="spellEnd"/>
            <w:r>
              <w:rPr>
                <w:rFonts w:cs="Arial"/>
                <w:szCs w:val="24"/>
                <w:lang w:val="fr-RE"/>
              </w:rPr>
              <w:t xml:space="preserve"> Festival Organisation</w:t>
            </w:r>
          </w:p>
        </w:tc>
      </w:tr>
      <w:tr w:rsidR="00B64B6B" w:rsidRPr="00B64B6B" w:rsidTr="00B64B6B">
        <w:tc>
          <w:tcPr>
            <w:tcW w:w="7087" w:type="dxa"/>
          </w:tcPr>
          <w:p w:rsidR="00B64B6B" w:rsidRPr="00B64B6B" w:rsidRDefault="00B64B6B" w:rsidP="005D5E22">
            <w:pPr>
              <w:pStyle w:val="NoSpacing"/>
              <w:rPr>
                <w:rFonts w:cs="Arial"/>
                <w:szCs w:val="24"/>
                <w:lang w:val="fr-RE"/>
              </w:rPr>
            </w:pPr>
            <w:r>
              <w:rPr>
                <w:rFonts w:cs="Arial"/>
                <w:szCs w:val="24"/>
                <w:lang w:val="fr-RE"/>
              </w:rPr>
              <w:t>Ghana Amalgamation</w:t>
            </w:r>
          </w:p>
        </w:tc>
        <w:tc>
          <w:tcPr>
            <w:tcW w:w="7087" w:type="dxa"/>
          </w:tcPr>
          <w:p w:rsidR="00B64B6B" w:rsidRPr="00B64B6B" w:rsidRDefault="00B64B6B" w:rsidP="005D5E22">
            <w:pPr>
              <w:pStyle w:val="NoSpacing"/>
              <w:rPr>
                <w:rFonts w:cs="Arial"/>
                <w:szCs w:val="24"/>
                <w:lang w:val="fr-RE"/>
              </w:rPr>
            </w:pPr>
            <w:r>
              <w:rPr>
                <w:rFonts w:cs="Arial"/>
                <w:szCs w:val="24"/>
                <w:lang w:val="fr-RE"/>
              </w:rPr>
              <w:t xml:space="preserve">Live </w:t>
            </w:r>
            <w:proofErr w:type="spellStart"/>
            <w:r>
              <w:rPr>
                <w:rFonts w:cs="Arial"/>
                <w:szCs w:val="24"/>
                <w:lang w:val="fr-RE"/>
              </w:rPr>
              <w:t>at</w:t>
            </w:r>
            <w:proofErr w:type="spellEnd"/>
            <w:r>
              <w:rPr>
                <w:rFonts w:cs="Arial"/>
                <w:szCs w:val="24"/>
                <w:lang w:val="fr-RE"/>
              </w:rPr>
              <w:t xml:space="preserve"> Home</w:t>
            </w:r>
          </w:p>
        </w:tc>
      </w:tr>
      <w:tr w:rsidR="00B64B6B" w:rsidRPr="00B64B6B" w:rsidTr="00B64B6B">
        <w:tc>
          <w:tcPr>
            <w:tcW w:w="7087" w:type="dxa"/>
          </w:tcPr>
          <w:p w:rsidR="00B64B6B" w:rsidRPr="00B64B6B" w:rsidRDefault="00B64B6B" w:rsidP="005D5E22">
            <w:pPr>
              <w:pStyle w:val="NoSpacing"/>
              <w:rPr>
                <w:rFonts w:cs="Arial"/>
                <w:szCs w:val="24"/>
                <w:lang w:val="fr-RE"/>
              </w:rPr>
            </w:pPr>
            <w:r>
              <w:rPr>
                <w:rFonts w:cs="Arial"/>
                <w:szCs w:val="24"/>
                <w:lang w:val="fr-RE"/>
              </w:rPr>
              <w:t>NBA-DLC-CDO</w:t>
            </w:r>
          </w:p>
        </w:tc>
        <w:tc>
          <w:tcPr>
            <w:tcW w:w="7087" w:type="dxa"/>
          </w:tcPr>
          <w:p w:rsidR="00B64B6B" w:rsidRPr="00B64B6B" w:rsidRDefault="00B64B6B" w:rsidP="005D5E22">
            <w:pPr>
              <w:pStyle w:val="NoSpacing"/>
              <w:rPr>
                <w:rFonts w:cs="Arial"/>
                <w:szCs w:val="24"/>
                <w:lang w:val="fr-RE"/>
              </w:rPr>
            </w:pPr>
            <w:r>
              <w:rPr>
                <w:rFonts w:cs="Arial"/>
                <w:szCs w:val="24"/>
                <w:lang w:val="fr-RE"/>
              </w:rPr>
              <w:t xml:space="preserve">British </w:t>
            </w:r>
            <w:proofErr w:type="spellStart"/>
            <w:r>
              <w:rPr>
                <w:rFonts w:cs="Arial"/>
                <w:szCs w:val="24"/>
                <w:lang w:val="fr-RE"/>
              </w:rPr>
              <w:t>Red</w:t>
            </w:r>
            <w:proofErr w:type="spellEnd"/>
            <w:r>
              <w:rPr>
                <w:rFonts w:cs="Arial"/>
                <w:szCs w:val="24"/>
                <w:lang w:val="fr-RE"/>
              </w:rPr>
              <w:t xml:space="preserve"> Cross</w:t>
            </w:r>
          </w:p>
        </w:tc>
      </w:tr>
      <w:tr w:rsidR="00B64B6B" w:rsidRPr="00B64B6B" w:rsidTr="00B64B6B">
        <w:tc>
          <w:tcPr>
            <w:tcW w:w="7087" w:type="dxa"/>
          </w:tcPr>
          <w:p w:rsidR="00B64B6B" w:rsidRPr="00B64B6B" w:rsidRDefault="00B64B6B" w:rsidP="005D5E22">
            <w:pPr>
              <w:pStyle w:val="NoSpacing"/>
              <w:rPr>
                <w:rFonts w:cs="Arial"/>
                <w:szCs w:val="24"/>
                <w:lang w:val="fr-RE"/>
              </w:rPr>
            </w:pPr>
            <w:r>
              <w:rPr>
                <w:rFonts w:cs="Arial"/>
                <w:szCs w:val="24"/>
                <w:lang w:val="fr-RE"/>
              </w:rPr>
              <w:t xml:space="preserve">Royal </w:t>
            </w:r>
            <w:proofErr w:type="spellStart"/>
            <w:r>
              <w:rPr>
                <w:rFonts w:cs="Arial"/>
                <w:szCs w:val="24"/>
                <w:lang w:val="fr-RE"/>
              </w:rPr>
              <w:t>Market</w:t>
            </w:r>
            <w:proofErr w:type="spellEnd"/>
            <w:r>
              <w:rPr>
                <w:rFonts w:cs="Arial"/>
                <w:szCs w:val="24"/>
                <w:lang w:val="fr-RE"/>
              </w:rPr>
              <w:t xml:space="preserve"> and PSBM</w:t>
            </w:r>
          </w:p>
        </w:tc>
        <w:tc>
          <w:tcPr>
            <w:tcW w:w="7087" w:type="dxa"/>
          </w:tcPr>
          <w:p w:rsidR="00B64B6B" w:rsidRPr="00B64B6B" w:rsidRDefault="00B64B6B" w:rsidP="005D5E22">
            <w:pPr>
              <w:pStyle w:val="NoSpacing"/>
              <w:rPr>
                <w:rFonts w:cs="Arial"/>
                <w:szCs w:val="24"/>
                <w:lang w:val="fr-RE"/>
              </w:rPr>
            </w:pPr>
            <w:r>
              <w:rPr>
                <w:rFonts w:cs="Arial"/>
                <w:szCs w:val="24"/>
                <w:lang w:val="fr-RE"/>
              </w:rPr>
              <w:t xml:space="preserve">Care and </w:t>
            </w:r>
            <w:proofErr w:type="spellStart"/>
            <w:r>
              <w:rPr>
                <w:rFonts w:cs="Arial"/>
                <w:szCs w:val="24"/>
                <w:lang w:val="fr-RE"/>
              </w:rPr>
              <w:t>Repair</w:t>
            </w:r>
            <w:proofErr w:type="spellEnd"/>
          </w:p>
        </w:tc>
      </w:tr>
      <w:tr w:rsidR="00B64B6B" w:rsidRPr="00B64B6B" w:rsidTr="00B64B6B">
        <w:tc>
          <w:tcPr>
            <w:tcW w:w="7087" w:type="dxa"/>
          </w:tcPr>
          <w:p w:rsidR="00B64B6B" w:rsidRPr="00B64B6B" w:rsidRDefault="00B64B6B" w:rsidP="005D5E22">
            <w:pPr>
              <w:pStyle w:val="NoSpacing"/>
              <w:rPr>
                <w:rFonts w:cs="Arial"/>
                <w:szCs w:val="24"/>
                <w:lang w:val="fr-RE"/>
              </w:rPr>
            </w:pPr>
            <w:proofErr w:type="spellStart"/>
            <w:r>
              <w:rPr>
                <w:rFonts w:cs="Arial"/>
                <w:szCs w:val="24"/>
                <w:lang w:val="fr-RE"/>
              </w:rPr>
              <w:t>Zimwomen</w:t>
            </w:r>
            <w:proofErr w:type="spellEnd"/>
            <w:r>
              <w:rPr>
                <w:rFonts w:cs="Arial"/>
                <w:szCs w:val="24"/>
                <w:lang w:val="fr-RE"/>
              </w:rPr>
              <w:t xml:space="preserve"> Association</w:t>
            </w:r>
          </w:p>
        </w:tc>
        <w:tc>
          <w:tcPr>
            <w:tcW w:w="7087" w:type="dxa"/>
          </w:tcPr>
          <w:p w:rsidR="00B64B6B" w:rsidRPr="00B64B6B" w:rsidRDefault="00B64B6B" w:rsidP="005D5E22">
            <w:pPr>
              <w:pStyle w:val="NoSpacing"/>
              <w:rPr>
                <w:rFonts w:cs="Arial"/>
                <w:szCs w:val="24"/>
                <w:lang w:val="fr-RE"/>
              </w:rPr>
            </w:pPr>
            <w:r>
              <w:rPr>
                <w:rFonts w:cs="Arial"/>
                <w:szCs w:val="24"/>
                <w:lang w:val="fr-RE"/>
              </w:rPr>
              <w:t xml:space="preserve">Northampton Park </w:t>
            </w:r>
            <w:proofErr w:type="spellStart"/>
            <w:r>
              <w:rPr>
                <w:rFonts w:cs="Arial"/>
                <w:szCs w:val="24"/>
                <w:lang w:val="fr-RE"/>
              </w:rPr>
              <w:t>Run</w:t>
            </w:r>
            <w:proofErr w:type="spellEnd"/>
          </w:p>
        </w:tc>
      </w:tr>
      <w:tr w:rsidR="00B64B6B" w:rsidRPr="00B64B6B" w:rsidTr="00B64B6B">
        <w:tc>
          <w:tcPr>
            <w:tcW w:w="7087" w:type="dxa"/>
          </w:tcPr>
          <w:p w:rsidR="00B64B6B" w:rsidRPr="00B64B6B" w:rsidRDefault="00B64B6B" w:rsidP="005D5E22">
            <w:pPr>
              <w:pStyle w:val="NoSpacing"/>
              <w:rPr>
                <w:rFonts w:cs="Arial"/>
                <w:szCs w:val="24"/>
                <w:lang w:val="fr-RE"/>
              </w:rPr>
            </w:pPr>
            <w:proofErr w:type="spellStart"/>
            <w:r>
              <w:rPr>
                <w:rFonts w:cs="Arial"/>
                <w:szCs w:val="24"/>
                <w:lang w:val="fr-RE"/>
              </w:rPr>
              <w:t>Pearls</w:t>
            </w:r>
            <w:proofErr w:type="spellEnd"/>
            <w:r>
              <w:rPr>
                <w:rFonts w:cs="Arial"/>
                <w:szCs w:val="24"/>
                <w:lang w:val="fr-RE"/>
              </w:rPr>
              <w:t xml:space="preserve"> of </w:t>
            </w:r>
            <w:proofErr w:type="spellStart"/>
            <w:r>
              <w:rPr>
                <w:rFonts w:cs="Arial"/>
                <w:szCs w:val="24"/>
                <w:lang w:val="fr-RE"/>
              </w:rPr>
              <w:t>Peace</w:t>
            </w:r>
            <w:proofErr w:type="spellEnd"/>
          </w:p>
        </w:tc>
        <w:tc>
          <w:tcPr>
            <w:tcW w:w="7087" w:type="dxa"/>
          </w:tcPr>
          <w:p w:rsidR="00B64B6B" w:rsidRPr="00B64B6B" w:rsidRDefault="00B64B6B" w:rsidP="005D5E22">
            <w:pPr>
              <w:pStyle w:val="NoSpacing"/>
              <w:rPr>
                <w:rFonts w:cs="Arial"/>
                <w:szCs w:val="24"/>
                <w:lang w:val="fr-RE"/>
              </w:rPr>
            </w:pPr>
            <w:r>
              <w:rPr>
                <w:rFonts w:cs="Arial"/>
                <w:szCs w:val="24"/>
                <w:lang w:val="fr-RE"/>
              </w:rPr>
              <w:t>Northamptonshire Police</w:t>
            </w:r>
          </w:p>
        </w:tc>
      </w:tr>
      <w:tr w:rsidR="00B64B6B" w:rsidRPr="00B64B6B" w:rsidTr="00B64B6B">
        <w:tc>
          <w:tcPr>
            <w:tcW w:w="7087" w:type="dxa"/>
          </w:tcPr>
          <w:p w:rsidR="00B64B6B" w:rsidRPr="00B64B6B" w:rsidRDefault="00B64B6B" w:rsidP="005D5E22">
            <w:pPr>
              <w:pStyle w:val="NoSpacing"/>
              <w:rPr>
                <w:rFonts w:cs="Arial"/>
                <w:szCs w:val="24"/>
              </w:rPr>
            </w:pPr>
            <w:r w:rsidRPr="00B64B6B">
              <w:rPr>
                <w:rFonts w:cs="Arial"/>
                <w:szCs w:val="24"/>
              </w:rPr>
              <w:t>Northampton Somali Women’s and Girls’ Association</w:t>
            </w:r>
          </w:p>
        </w:tc>
        <w:tc>
          <w:tcPr>
            <w:tcW w:w="7087" w:type="dxa"/>
          </w:tcPr>
          <w:p w:rsidR="00B64B6B" w:rsidRPr="00B64B6B" w:rsidRDefault="005B1E62" w:rsidP="005D5E22">
            <w:pPr>
              <w:pStyle w:val="NoSpacing"/>
              <w:rPr>
                <w:rFonts w:cs="Arial"/>
                <w:szCs w:val="24"/>
              </w:rPr>
            </w:pPr>
            <w:r>
              <w:rPr>
                <w:rFonts w:cs="Arial"/>
                <w:szCs w:val="24"/>
              </w:rPr>
              <w:t>Cllr. Winston Strachan</w:t>
            </w:r>
          </w:p>
        </w:tc>
      </w:tr>
    </w:tbl>
    <w:p w:rsidR="005D5E22" w:rsidRPr="00B64B6B" w:rsidRDefault="005D5E22" w:rsidP="005D5E22">
      <w:pPr>
        <w:pStyle w:val="NoSpacing"/>
        <w:rPr>
          <w:rFonts w:cs="Arial"/>
          <w:szCs w:val="24"/>
        </w:rPr>
      </w:pPr>
    </w:p>
    <w:p w:rsidR="005D5E22" w:rsidRPr="00B64B6B" w:rsidRDefault="005D5E22" w:rsidP="005D5E22">
      <w:pPr>
        <w:pStyle w:val="NoSpacing"/>
        <w:rPr>
          <w:rFonts w:cs="Arial"/>
          <w:szCs w:val="24"/>
        </w:rPr>
      </w:pPr>
    </w:p>
    <w:p w:rsidR="005D5E22" w:rsidRPr="00B64B6B" w:rsidRDefault="005D5E22" w:rsidP="005D5E22">
      <w:pPr>
        <w:pStyle w:val="NoSpacing"/>
        <w:rPr>
          <w:rFonts w:cs="Arial"/>
          <w:szCs w:val="24"/>
        </w:rPr>
      </w:pPr>
    </w:p>
    <w:p w:rsidR="00F06D31" w:rsidRPr="00B64B6B" w:rsidRDefault="00F06D31" w:rsidP="00F06D31">
      <w:pPr>
        <w:pStyle w:val="NoSpacing"/>
        <w:rPr>
          <w:rFonts w:cs="Arial"/>
          <w:szCs w:val="24"/>
        </w:rPr>
      </w:pPr>
    </w:p>
    <w:p w:rsidR="00F06D31" w:rsidRPr="00B64B6B" w:rsidRDefault="00F06D31" w:rsidP="00F06D31"/>
    <w:p w:rsidR="00F06D31" w:rsidRPr="00B64B6B" w:rsidRDefault="00F06D31" w:rsidP="00F06D31">
      <w:pPr>
        <w:pStyle w:val="NoSpacing"/>
        <w:rPr>
          <w:rFonts w:cs="Arial"/>
          <w:szCs w:val="24"/>
        </w:rPr>
      </w:pPr>
    </w:p>
    <w:sectPr w:rsidR="00F06D31" w:rsidRPr="00B64B6B" w:rsidSect="00F6306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4C" w:rsidRDefault="00B7654C" w:rsidP="00264E02">
      <w:pPr>
        <w:spacing w:after="0" w:line="240" w:lineRule="auto"/>
      </w:pPr>
      <w:r>
        <w:separator/>
      </w:r>
    </w:p>
  </w:endnote>
  <w:endnote w:type="continuationSeparator" w:id="0">
    <w:p w:rsidR="00B7654C" w:rsidRDefault="00B7654C" w:rsidP="00264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4C" w:rsidRDefault="00B7654C" w:rsidP="00264E02">
      <w:pPr>
        <w:spacing w:after="0" w:line="240" w:lineRule="auto"/>
      </w:pPr>
      <w:r>
        <w:separator/>
      </w:r>
    </w:p>
  </w:footnote>
  <w:footnote w:type="continuationSeparator" w:id="0">
    <w:p w:rsidR="00B7654C" w:rsidRDefault="00B7654C" w:rsidP="00264E02">
      <w:pPr>
        <w:spacing w:after="0" w:line="240" w:lineRule="auto"/>
      </w:pPr>
      <w:r>
        <w:continuationSeparator/>
      </w:r>
    </w:p>
  </w:footnote>
  <w:footnote w:id="1">
    <w:p w:rsidR="002C2ECD" w:rsidRDefault="002C2ECD">
      <w:pPr>
        <w:pStyle w:val="FootnoteText"/>
      </w:pPr>
      <w:r>
        <w:rPr>
          <w:rStyle w:val="FootnoteReference"/>
        </w:rPr>
        <w:footnoteRef/>
      </w:r>
      <w:r>
        <w:t xml:space="preserve"> Some funders, including the National Lottery, will also speak of the bottom 10% as “the most deprived” and the bottom 5% as “severely deprived”. None of these terms, however, have general acceptance among academics or policy makers</w:t>
      </w:r>
      <w:proofErr w:type="gramStart"/>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9EA"/>
    <w:multiLevelType w:val="hybridMultilevel"/>
    <w:tmpl w:val="A4084446"/>
    <w:lvl w:ilvl="0" w:tplc="9C366500">
      <w:start w:val="1"/>
      <w:numFmt w:val="bullet"/>
      <w:pStyle w:val="CDF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6306F"/>
    <w:multiLevelType w:val="hybridMultilevel"/>
    <w:tmpl w:val="B798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DE3F7F"/>
    <w:multiLevelType w:val="hybridMultilevel"/>
    <w:tmpl w:val="88C8ED80"/>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1354" w:hanging="360"/>
      </w:pPr>
      <w:rPr>
        <w:rFonts w:ascii="Courier New" w:hAnsi="Courier New" w:cs="Courier New" w:hint="default"/>
      </w:rPr>
    </w:lvl>
    <w:lvl w:ilvl="2" w:tplc="08090001">
      <w:start w:val="1"/>
      <w:numFmt w:val="bullet"/>
      <w:lvlText w:val=""/>
      <w:lvlJc w:val="left"/>
      <w:pPr>
        <w:ind w:left="2728" w:hanging="360"/>
      </w:pPr>
      <w:rPr>
        <w:rFonts w:ascii="Symbol" w:hAnsi="Symbol" w:hint="default"/>
      </w:rPr>
    </w:lvl>
    <w:lvl w:ilvl="3" w:tplc="D5942746">
      <w:start w:val="5"/>
      <w:numFmt w:val="bullet"/>
      <w:lvlText w:val="-"/>
      <w:lvlJc w:val="left"/>
      <w:pPr>
        <w:ind w:left="3448" w:hanging="360"/>
      </w:pPr>
      <w:rPr>
        <w:rFonts w:ascii="Arial" w:eastAsiaTheme="minorHAnsi" w:hAnsi="Arial" w:cs="Aria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nsid w:val="03853BA0"/>
    <w:multiLevelType w:val="hybridMultilevel"/>
    <w:tmpl w:val="337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8C1955"/>
    <w:multiLevelType w:val="hybridMultilevel"/>
    <w:tmpl w:val="239EAB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CF1ABC"/>
    <w:multiLevelType w:val="hybridMultilevel"/>
    <w:tmpl w:val="C21C2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3C0AEB"/>
    <w:multiLevelType w:val="hybridMultilevel"/>
    <w:tmpl w:val="F196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5C63FD"/>
    <w:multiLevelType w:val="hybridMultilevel"/>
    <w:tmpl w:val="742E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A2FFB"/>
    <w:multiLevelType w:val="hybridMultilevel"/>
    <w:tmpl w:val="D6C260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0BCE1D0B"/>
    <w:multiLevelType w:val="hybridMultilevel"/>
    <w:tmpl w:val="CEA6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737E9F"/>
    <w:multiLevelType w:val="hybridMultilevel"/>
    <w:tmpl w:val="7FB49268"/>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1354"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1">
    <w:nsid w:val="173877A9"/>
    <w:multiLevelType w:val="hybridMultilevel"/>
    <w:tmpl w:val="B402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418D1"/>
    <w:multiLevelType w:val="hybridMultilevel"/>
    <w:tmpl w:val="A1EA0F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39C5071D"/>
    <w:multiLevelType w:val="hybridMultilevel"/>
    <w:tmpl w:val="3A26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54CE9"/>
    <w:multiLevelType w:val="hybridMultilevel"/>
    <w:tmpl w:val="6930D6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7555DB"/>
    <w:multiLevelType w:val="hybridMultilevel"/>
    <w:tmpl w:val="001A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50FF0"/>
    <w:multiLevelType w:val="hybridMultilevel"/>
    <w:tmpl w:val="32C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4A2C35"/>
    <w:multiLevelType w:val="hybridMultilevel"/>
    <w:tmpl w:val="4270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C7229"/>
    <w:multiLevelType w:val="hybridMultilevel"/>
    <w:tmpl w:val="304420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C768AE"/>
    <w:multiLevelType w:val="hybridMultilevel"/>
    <w:tmpl w:val="4C805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76598"/>
    <w:multiLevelType w:val="hybridMultilevel"/>
    <w:tmpl w:val="8732F2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BB3B93"/>
    <w:multiLevelType w:val="hybridMultilevel"/>
    <w:tmpl w:val="8C5E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7"/>
  </w:num>
  <w:num w:numId="5">
    <w:abstractNumId w:val="14"/>
  </w:num>
  <w:num w:numId="6">
    <w:abstractNumId w:val="15"/>
  </w:num>
  <w:num w:numId="7">
    <w:abstractNumId w:val="19"/>
  </w:num>
  <w:num w:numId="8">
    <w:abstractNumId w:val="7"/>
  </w:num>
  <w:num w:numId="9">
    <w:abstractNumId w:val="13"/>
  </w:num>
  <w:num w:numId="10">
    <w:abstractNumId w:val="16"/>
  </w:num>
  <w:num w:numId="11">
    <w:abstractNumId w:val="21"/>
  </w:num>
  <w:num w:numId="12">
    <w:abstractNumId w:val="8"/>
  </w:num>
  <w:num w:numId="13">
    <w:abstractNumId w:val="0"/>
  </w:num>
  <w:num w:numId="14">
    <w:abstractNumId w:val="3"/>
  </w:num>
  <w:num w:numId="15">
    <w:abstractNumId w:val="6"/>
  </w:num>
  <w:num w:numId="16">
    <w:abstractNumId w:val="10"/>
  </w:num>
  <w:num w:numId="17">
    <w:abstractNumId w:val="2"/>
  </w:num>
  <w:num w:numId="18">
    <w:abstractNumId w:val="18"/>
  </w:num>
  <w:num w:numId="19">
    <w:abstractNumId w:val="1"/>
  </w:num>
  <w:num w:numId="20">
    <w:abstractNumId w:val="5"/>
  </w:num>
  <w:num w:numId="21">
    <w:abstractNumId w:val="2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3069"/>
    <w:rsid w:val="000769CC"/>
    <w:rsid w:val="000E0F14"/>
    <w:rsid w:val="0011730E"/>
    <w:rsid w:val="00196C0A"/>
    <w:rsid w:val="001C5C3B"/>
    <w:rsid w:val="001D3181"/>
    <w:rsid w:val="001E321B"/>
    <w:rsid w:val="001E570B"/>
    <w:rsid w:val="001F10AB"/>
    <w:rsid w:val="001F4175"/>
    <w:rsid w:val="00233207"/>
    <w:rsid w:val="00233D1E"/>
    <w:rsid w:val="002415A9"/>
    <w:rsid w:val="002468F9"/>
    <w:rsid w:val="00260D8A"/>
    <w:rsid w:val="002623AA"/>
    <w:rsid w:val="00264E02"/>
    <w:rsid w:val="002943A3"/>
    <w:rsid w:val="002A5210"/>
    <w:rsid w:val="002A7EB0"/>
    <w:rsid w:val="002C2ECD"/>
    <w:rsid w:val="00346B32"/>
    <w:rsid w:val="00372F46"/>
    <w:rsid w:val="003736AC"/>
    <w:rsid w:val="00385B59"/>
    <w:rsid w:val="00386B09"/>
    <w:rsid w:val="003B50F3"/>
    <w:rsid w:val="003D6300"/>
    <w:rsid w:val="003E40D3"/>
    <w:rsid w:val="00416BB2"/>
    <w:rsid w:val="004B41A0"/>
    <w:rsid w:val="004C3966"/>
    <w:rsid w:val="005158D0"/>
    <w:rsid w:val="00516FB0"/>
    <w:rsid w:val="005B1E62"/>
    <w:rsid w:val="005D5E22"/>
    <w:rsid w:val="006320F1"/>
    <w:rsid w:val="006F2EE3"/>
    <w:rsid w:val="00715324"/>
    <w:rsid w:val="00733C57"/>
    <w:rsid w:val="007914C6"/>
    <w:rsid w:val="00792575"/>
    <w:rsid w:val="007A343A"/>
    <w:rsid w:val="007A54EC"/>
    <w:rsid w:val="007B5785"/>
    <w:rsid w:val="007D3E1C"/>
    <w:rsid w:val="00814C04"/>
    <w:rsid w:val="00832A15"/>
    <w:rsid w:val="008473FD"/>
    <w:rsid w:val="00854398"/>
    <w:rsid w:val="0088092D"/>
    <w:rsid w:val="00881300"/>
    <w:rsid w:val="008875AC"/>
    <w:rsid w:val="008C42A3"/>
    <w:rsid w:val="008F015A"/>
    <w:rsid w:val="00900F5D"/>
    <w:rsid w:val="009277AC"/>
    <w:rsid w:val="009360D3"/>
    <w:rsid w:val="00936348"/>
    <w:rsid w:val="0099793C"/>
    <w:rsid w:val="009C70FA"/>
    <w:rsid w:val="009F0FBB"/>
    <w:rsid w:val="00A3203C"/>
    <w:rsid w:val="00A40749"/>
    <w:rsid w:val="00A42419"/>
    <w:rsid w:val="00A60B71"/>
    <w:rsid w:val="00AB1D1E"/>
    <w:rsid w:val="00AD620D"/>
    <w:rsid w:val="00B22241"/>
    <w:rsid w:val="00B41846"/>
    <w:rsid w:val="00B64B6B"/>
    <w:rsid w:val="00B71606"/>
    <w:rsid w:val="00B7654C"/>
    <w:rsid w:val="00B91E48"/>
    <w:rsid w:val="00B956C5"/>
    <w:rsid w:val="00B974CE"/>
    <w:rsid w:val="00BB08A9"/>
    <w:rsid w:val="00BC6412"/>
    <w:rsid w:val="00BD505A"/>
    <w:rsid w:val="00C160BE"/>
    <w:rsid w:val="00C35D68"/>
    <w:rsid w:val="00C47C5B"/>
    <w:rsid w:val="00C64E44"/>
    <w:rsid w:val="00CF5AD5"/>
    <w:rsid w:val="00CF6F80"/>
    <w:rsid w:val="00CF711D"/>
    <w:rsid w:val="00D73540"/>
    <w:rsid w:val="00DA1A3F"/>
    <w:rsid w:val="00DC6996"/>
    <w:rsid w:val="00DD1F48"/>
    <w:rsid w:val="00E25040"/>
    <w:rsid w:val="00E404B8"/>
    <w:rsid w:val="00E633AA"/>
    <w:rsid w:val="00E63880"/>
    <w:rsid w:val="00E85F45"/>
    <w:rsid w:val="00EC29CE"/>
    <w:rsid w:val="00EC5349"/>
    <w:rsid w:val="00ED7A7A"/>
    <w:rsid w:val="00F06D31"/>
    <w:rsid w:val="00F35082"/>
    <w:rsid w:val="00F353E1"/>
    <w:rsid w:val="00F63069"/>
    <w:rsid w:val="00FC6588"/>
    <w:rsid w:val="00FD1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6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069"/>
    <w:pPr>
      <w:spacing w:after="0" w:line="240" w:lineRule="auto"/>
    </w:pPr>
    <w:rPr>
      <w:rFonts w:ascii="Arial" w:hAnsi="Arial"/>
      <w:sz w:val="24"/>
    </w:rPr>
  </w:style>
  <w:style w:type="table" w:styleId="TableGrid">
    <w:name w:val="Table Grid"/>
    <w:basedOn w:val="TableNormal"/>
    <w:uiPriority w:val="59"/>
    <w:rsid w:val="00F63069"/>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4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E02"/>
    <w:rPr>
      <w:rFonts w:ascii="Arial" w:hAnsi="Arial"/>
      <w:sz w:val="20"/>
      <w:szCs w:val="20"/>
    </w:rPr>
  </w:style>
  <w:style w:type="character" w:styleId="FootnoteReference">
    <w:name w:val="footnote reference"/>
    <w:basedOn w:val="DefaultParagraphFont"/>
    <w:uiPriority w:val="99"/>
    <w:semiHidden/>
    <w:unhideWhenUsed/>
    <w:rsid w:val="00264E02"/>
    <w:rPr>
      <w:vertAlign w:val="superscript"/>
    </w:rPr>
  </w:style>
  <w:style w:type="paragraph" w:customStyle="1" w:styleId="Default">
    <w:name w:val="Default"/>
    <w:rsid w:val="00B22241"/>
    <w:pPr>
      <w:autoSpaceDE w:val="0"/>
      <w:autoSpaceDN w:val="0"/>
      <w:adjustRightInd w:val="0"/>
      <w:spacing w:after="0" w:line="240" w:lineRule="auto"/>
    </w:pPr>
    <w:rPr>
      <w:rFonts w:ascii="Arial" w:eastAsia="Calibri" w:hAnsi="Arial" w:cs="Arial"/>
      <w:color w:val="000000"/>
      <w:sz w:val="24"/>
      <w:szCs w:val="24"/>
    </w:rPr>
  </w:style>
  <w:style w:type="paragraph" w:customStyle="1" w:styleId="CDFbullets">
    <w:name w:val="CDF bullets"/>
    <w:basedOn w:val="Normal"/>
    <w:link w:val="CDFbulletsChar"/>
    <w:qFormat/>
    <w:rsid w:val="00B22241"/>
    <w:pPr>
      <w:numPr>
        <w:numId w:val="13"/>
      </w:numPr>
      <w:spacing w:after="120"/>
    </w:pPr>
    <w:rPr>
      <w:rFonts w:ascii="Gill Sans MT" w:eastAsia="Calibri" w:hAnsi="Gill Sans MT" w:cs="Times New Roman"/>
    </w:rPr>
  </w:style>
  <w:style w:type="character" w:customStyle="1" w:styleId="CDFbulletsChar">
    <w:name w:val="CDF bullets Char"/>
    <w:basedOn w:val="DefaultParagraphFont"/>
    <w:link w:val="CDFbullets"/>
    <w:rsid w:val="00B22241"/>
    <w:rPr>
      <w:rFonts w:ascii="Gill Sans MT" w:eastAsia="Calibri" w:hAnsi="Gill Sans MT" w:cs="Times New Roman"/>
      <w:sz w:val="24"/>
    </w:rPr>
  </w:style>
  <w:style w:type="paragraph" w:styleId="ListParagraph">
    <w:name w:val="List Paragraph"/>
    <w:basedOn w:val="Normal"/>
    <w:uiPriority w:val="34"/>
    <w:qFormat/>
    <w:rsid w:val="00F06D31"/>
    <w:pPr>
      <w:ind w:left="720"/>
      <w:contextualSpacing/>
    </w:pPr>
  </w:style>
  <w:style w:type="paragraph" w:styleId="BalloonText">
    <w:name w:val="Balloon Text"/>
    <w:basedOn w:val="Normal"/>
    <w:link w:val="BalloonTextChar"/>
    <w:uiPriority w:val="99"/>
    <w:semiHidden/>
    <w:unhideWhenUsed/>
    <w:rsid w:val="00854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8285F-D20D-4292-8B2E-17955823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18</Pages>
  <Words>4221</Words>
  <Characters>24062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18</cp:revision>
  <cp:lastPrinted>2013-06-27T16:54:00Z</cp:lastPrinted>
  <dcterms:created xsi:type="dcterms:W3CDTF">2013-06-05T13:32:00Z</dcterms:created>
  <dcterms:modified xsi:type="dcterms:W3CDTF">2013-08-18T23:11:00Z</dcterms:modified>
</cp:coreProperties>
</file>